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52F59" w14:textId="77777777" w:rsidR="005E07A3" w:rsidRPr="006E5599" w:rsidRDefault="00CC0E05" w:rsidP="00CC0E05">
      <w:pPr>
        <w:pStyle w:val="NoSpacing"/>
        <w:jc w:val="center"/>
        <w:rPr>
          <w:sz w:val="32"/>
          <w:szCs w:val="32"/>
        </w:rPr>
      </w:pPr>
      <w:r w:rsidRPr="006E5599">
        <w:rPr>
          <w:sz w:val="32"/>
          <w:szCs w:val="32"/>
        </w:rPr>
        <w:t>COURT BUNDLES &amp; PD27A</w:t>
      </w:r>
    </w:p>
    <w:p w14:paraId="12963AA2" w14:textId="77777777" w:rsidR="00CC0E05" w:rsidRPr="006E5599" w:rsidRDefault="00CC0E05" w:rsidP="00CC0E05">
      <w:pPr>
        <w:pStyle w:val="NoSpacing"/>
        <w:jc w:val="center"/>
        <w:rPr>
          <w:sz w:val="32"/>
          <w:szCs w:val="32"/>
        </w:rPr>
      </w:pPr>
      <w:r w:rsidRPr="006E5599">
        <w:rPr>
          <w:sz w:val="32"/>
          <w:szCs w:val="32"/>
        </w:rPr>
        <w:t>“QUICK LOOK” GUIDE</w:t>
      </w:r>
    </w:p>
    <w:p w14:paraId="28540F67" w14:textId="77777777" w:rsidR="00CC0E05" w:rsidRDefault="00CC0E05" w:rsidP="00CC0E05">
      <w:pPr>
        <w:pStyle w:val="NoSpacing"/>
        <w:jc w:val="center"/>
      </w:pPr>
    </w:p>
    <w:p w14:paraId="3BDF9EE3" w14:textId="174586CD" w:rsidR="00CC0E05" w:rsidRDefault="002A39B1" w:rsidP="00CC0E05">
      <w:pPr>
        <w:pStyle w:val="NoSpacing"/>
        <w:jc w:val="both"/>
      </w:pPr>
      <w:r>
        <w:t>This is a concise guide to the essential requirements for court bundles in Family Court proceedings.  It does not contain all of the rules as prescribed by Family Procedure Rules Practice Direction 27A; all practitioners should be sure that they read the Practice Direction in full and familiarise themselves with its contents.  A failure to comply with the Practice Direction can result in the case being adjourned and a wasted costs order being made against the legal representative.</w:t>
      </w:r>
    </w:p>
    <w:p w14:paraId="2C8C23C8" w14:textId="77777777" w:rsidR="002A39B1" w:rsidRDefault="002A39B1" w:rsidP="00CC0E05">
      <w:pPr>
        <w:pStyle w:val="NoSpacing"/>
        <w:jc w:val="both"/>
      </w:pPr>
    </w:p>
    <w:p w14:paraId="61512376" w14:textId="6EE5DBC7" w:rsidR="002A39B1" w:rsidRDefault="002A39B1" w:rsidP="00CC0E05">
      <w:pPr>
        <w:pStyle w:val="NoSpacing"/>
        <w:jc w:val="both"/>
      </w:pPr>
      <w:r>
        <w:t>WHEN ARE COURT BUNDLES REQUIRED?</w:t>
      </w:r>
    </w:p>
    <w:p w14:paraId="00CA6087" w14:textId="5F4883D2" w:rsidR="002A39B1" w:rsidRDefault="002A39B1" w:rsidP="002A39B1">
      <w:pPr>
        <w:pStyle w:val="NoSpacing"/>
        <w:numPr>
          <w:ilvl w:val="0"/>
          <w:numId w:val="1"/>
        </w:numPr>
        <w:jc w:val="both"/>
      </w:pPr>
      <w:r>
        <w:t xml:space="preserve">For </w:t>
      </w:r>
      <w:r w:rsidRPr="002A39B1">
        <w:rPr>
          <w:u w:val="single"/>
        </w:rPr>
        <w:t>all</w:t>
      </w:r>
      <w:r>
        <w:t xml:space="preserve"> hearings in the Family Court and High Court Family Division</w:t>
      </w:r>
    </w:p>
    <w:p w14:paraId="7BF5E8E6" w14:textId="00D1B731" w:rsidR="002A39B1" w:rsidRDefault="002A39B1" w:rsidP="002A39B1">
      <w:pPr>
        <w:pStyle w:val="NoSpacing"/>
        <w:numPr>
          <w:ilvl w:val="0"/>
          <w:numId w:val="1"/>
        </w:numPr>
        <w:jc w:val="both"/>
      </w:pPr>
      <w:r>
        <w:t>Directions hearings and final hearings</w:t>
      </w:r>
    </w:p>
    <w:p w14:paraId="23F4C90D" w14:textId="6BE7CD6C" w:rsidR="002A39B1" w:rsidRDefault="002A39B1" w:rsidP="002A39B1">
      <w:pPr>
        <w:pStyle w:val="NoSpacing"/>
        <w:numPr>
          <w:ilvl w:val="0"/>
          <w:numId w:val="1"/>
        </w:numPr>
        <w:jc w:val="both"/>
      </w:pPr>
      <w:r>
        <w:t>Hearings with notice and without notice</w:t>
      </w:r>
    </w:p>
    <w:p w14:paraId="086D8083" w14:textId="08646F61" w:rsidR="002A39B1" w:rsidRDefault="002A39B1" w:rsidP="002A39B1">
      <w:pPr>
        <w:pStyle w:val="NoSpacing"/>
        <w:numPr>
          <w:ilvl w:val="0"/>
          <w:numId w:val="1"/>
        </w:numPr>
        <w:jc w:val="both"/>
      </w:pPr>
      <w:r>
        <w:t xml:space="preserve">Bundles are not required for urgent hearings </w:t>
      </w:r>
      <w:r w:rsidR="00A46D79">
        <w:t xml:space="preserve">only </w:t>
      </w:r>
      <w:r>
        <w:t xml:space="preserve">when it is </w:t>
      </w:r>
      <w:r w:rsidRPr="002A39B1">
        <w:rPr>
          <w:u w:val="single"/>
        </w:rPr>
        <w:t>impossible</w:t>
      </w:r>
      <w:r>
        <w:t xml:space="preserve"> to comply</w:t>
      </w:r>
    </w:p>
    <w:p w14:paraId="36C0978B" w14:textId="77777777" w:rsidR="002A39B1" w:rsidRDefault="002A39B1" w:rsidP="002A39B1">
      <w:pPr>
        <w:pStyle w:val="NoSpacing"/>
        <w:jc w:val="both"/>
      </w:pPr>
    </w:p>
    <w:p w14:paraId="47FEA667" w14:textId="0E3DB035" w:rsidR="002A39B1" w:rsidRDefault="00F379F5" w:rsidP="002A39B1">
      <w:pPr>
        <w:pStyle w:val="NoSpacing"/>
        <w:jc w:val="both"/>
      </w:pPr>
      <w:r>
        <w:t>FORMAT</w:t>
      </w:r>
    </w:p>
    <w:p w14:paraId="0514E910" w14:textId="2EF7F0A3" w:rsidR="00F379F5" w:rsidRDefault="00F379F5" w:rsidP="00F379F5">
      <w:pPr>
        <w:pStyle w:val="NoSpacing"/>
        <w:numPr>
          <w:ilvl w:val="0"/>
          <w:numId w:val="2"/>
        </w:numPr>
        <w:jc w:val="both"/>
      </w:pPr>
      <w:r>
        <w:t xml:space="preserve">Limited to </w:t>
      </w:r>
      <w:r w:rsidRPr="004E2A48">
        <w:rPr>
          <w:u w:val="single"/>
        </w:rPr>
        <w:t>one A4 ring binder</w:t>
      </w:r>
      <w:r>
        <w:t>/lever arch file</w:t>
      </w:r>
    </w:p>
    <w:p w14:paraId="47BCBEFE" w14:textId="7E61AC1D" w:rsidR="00F379F5" w:rsidRDefault="00F379F5" w:rsidP="00F379F5">
      <w:pPr>
        <w:pStyle w:val="NoSpacing"/>
        <w:numPr>
          <w:ilvl w:val="0"/>
          <w:numId w:val="2"/>
        </w:numPr>
        <w:jc w:val="both"/>
      </w:pPr>
      <w:r>
        <w:t xml:space="preserve">Limited to </w:t>
      </w:r>
      <w:r w:rsidRPr="004E2A48">
        <w:rPr>
          <w:u w:val="single"/>
        </w:rPr>
        <w:t>350 pages</w:t>
      </w:r>
      <w:r w:rsidR="00AE5321">
        <w:t xml:space="preserve"> (unless the court has specifically directed that the </w:t>
      </w:r>
      <w:r w:rsidR="004E2A48">
        <w:t>bundle can exceed this limit</w:t>
      </w:r>
      <w:r w:rsidR="007D57F6">
        <w:t>.  Permission to exceed the page limit should be sought at the PHR or IRH</w:t>
      </w:r>
      <w:r w:rsidR="00CC4EAF">
        <w:t xml:space="preserve"> and will only be allowed if it is necessary and proportionate</w:t>
      </w:r>
      <w:r w:rsidR="004E2A48">
        <w:t>)</w:t>
      </w:r>
    </w:p>
    <w:p w14:paraId="78D7794C" w14:textId="32E0E508" w:rsidR="00F379F5" w:rsidRDefault="00F379F5" w:rsidP="00F379F5">
      <w:pPr>
        <w:pStyle w:val="NoSpacing"/>
        <w:numPr>
          <w:ilvl w:val="0"/>
          <w:numId w:val="2"/>
        </w:numPr>
        <w:jc w:val="both"/>
      </w:pPr>
      <w:r>
        <w:t>Pages to be printed single-sided</w:t>
      </w:r>
    </w:p>
    <w:p w14:paraId="4F98C596" w14:textId="5C09B60C" w:rsidR="00F379F5" w:rsidRDefault="00F379F5" w:rsidP="00F379F5">
      <w:pPr>
        <w:pStyle w:val="NoSpacing"/>
        <w:numPr>
          <w:ilvl w:val="0"/>
          <w:numId w:val="2"/>
        </w:numPr>
        <w:jc w:val="both"/>
      </w:pPr>
      <w:r>
        <w:t>Font no smaller than 12 point</w:t>
      </w:r>
    </w:p>
    <w:p w14:paraId="78BF4011" w14:textId="58D43E7C" w:rsidR="00F379F5" w:rsidRDefault="00F379F5" w:rsidP="00F379F5">
      <w:pPr>
        <w:pStyle w:val="NoSpacing"/>
        <w:numPr>
          <w:ilvl w:val="0"/>
          <w:numId w:val="2"/>
        </w:numPr>
        <w:jc w:val="both"/>
      </w:pPr>
      <w:r>
        <w:t>1.5 or double spaced text</w:t>
      </w:r>
    </w:p>
    <w:p w14:paraId="6833E66F" w14:textId="46B63B40" w:rsidR="008970AD" w:rsidRDefault="008970AD" w:rsidP="00F379F5">
      <w:pPr>
        <w:pStyle w:val="NoSpacing"/>
        <w:numPr>
          <w:ilvl w:val="0"/>
          <w:numId w:val="2"/>
        </w:numPr>
        <w:jc w:val="both"/>
      </w:pPr>
      <w:r>
        <w:t>All pages should be numbered (paginated)</w:t>
      </w:r>
    </w:p>
    <w:p w14:paraId="7456D06F" w14:textId="4187373F" w:rsidR="00404551" w:rsidRDefault="00404551" w:rsidP="00F379F5">
      <w:pPr>
        <w:pStyle w:val="NoSpacing"/>
        <w:numPr>
          <w:ilvl w:val="0"/>
          <w:numId w:val="2"/>
        </w:numPr>
        <w:jc w:val="both"/>
      </w:pPr>
      <w:r>
        <w:t>Documents should be in chronological order, earliest first</w:t>
      </w:r>
    </w:p>
    <w:p w14:paraId="7B5F4EB7" w14:textId="5165B8AF" w:rsidR="00404551" w:rsidRDefault="00404551" w:rsidP="00F379F5">
      <w:pPr>
        <w:pStyle w:val="NoSpacing"/>
        <w:numPr>
          <w:ilvl w:val="0"/>
          <w:numId w:val="2"/>
        </w:numPr>
        <w:jc w:val="both"/>
      </w:pPr>
      <w:r>
        <w:t>Documents should be divided into separated sections</w:t>
      </w:r>
      <w:r w:rsidR="005B20B7">
        <w:t xml:space="preserve"> and the sections should be separately paginated</w:t>
      </w:r>
    </w:p>
    <w:p w14:paraId="3E3345E5" w14:textId="422D827C" w:rsidR="00E81568" w:rsidRDefault="00E81568" w:rsidP="00F379F5">
      <w:pPr>
        <w:pStyle w:val="NoSpacing"/>
        <w:numPr>
          <w:ilvl w:val="0"/>
          <w:numId w:val="2"/>
        </w:numPr>
        <w:jc w:val="both"/>
      </w:pPr>
      <w:r>
        <w:t xml:space="preserve">The front and spine should be marked with: the title and number of the case; the place where the hearing is listed; </w:t>
      </w:r>
      <w:r w:rsidR="0079345B">
        <w:t>the hearing date and time; the Judge (where known)</w:t>
      </w:r>
    </w:p>
    <w:p w14:paraId="7B99DD85" w14:textId="77777777" w:rsidR="00F379F5" w:rsidRDefault="00F379F5" w:rsidP="00F379F5">
      <w:pPr>
        <w:pStyle w:val="NoSpacing"/>
        <w:jc w:val="both"/>
      </w:pPr>
    </w:p>
    <w:p w14:paraId="616E0EF6" w14:textId="74AC9829" w:rsidR="00F379F5" w:rsidRDefault="007A4124" w:rsidP="00F379F5">
      <w:pPr>
        <w:pStyle w:val="NoSpacing"/>
        <w:jc w:val="both"/>
      </w:pPr>
      <w:r>
        <w:t>WHO IS RESPONSIBLE?</w:t>
      </w:r>
    </w:p>
    <w:p w14:paraId="504B5299" w14:textId="59A1BEAF" w:rsidR="007A4124" w:rsidRDefault="007B1C79" w:rsidP="007A4124">
      <w:pPr>
        <w:pStyle w:val="NoSpacing"/>
        <w:numPr>
          <w:ilvl w:val="0"/>
          <w:numId w:val="3"/>
        </w:numPr>
        <w:jc w:val="both"/>
      </w:pPr>
      <w:r>
        <w:t>The Applicant</w:t>
      </w:r>
    </w:p>
    <w:p w14:paraId="14A35933" w14:textId="2ED47E99" w:rsidR="007B1C79" w:rsidRDefault="007B1C79" w:rsidP="007A4124">
      <w:pPr>
        <w:pStyle w:val="NoSpacing"/>
        <w:numPr>
          <w:ilvl w:val="0"/>
          <w:numId w:val="3"/>
        </w:numPr>
        <w:jc w:val="both"/>
      </w:pPr>
      <w:r>
        <w:t>If the Applicant is a Litigant in Person, the first Respondent who is legally represented</w:t>
      </w:r>
    </w:p>
    <w:p w14:paraId="13AB547A" w14:textId="1951CBF9" w:rsidR="007B1C79" w:rsidRDefault="00F53ABE" w:rsidP="007A4124">
      <w:pPr>
        <w:pStyle w:val="NoSpacing"/>
        <w:numPr>
          <w:ilvl w:val="0"/>
          <w:numId w:val="3"/>
        </w:numPr>
        <w:jc w:val="both"/>
      </w:pPr>
      <w:r>
        <w:t>If all parties are Litigants in Person, a bundle is not required unless the court directs one to be prepared</w:t>
      </w:r>
      <w:r w:rsidR="00B32919">
        <w:t xml:space="preserve"> by one party; alternatively, the court may direct that HMCTS prepare a bundle</w:t>
      </w:r>
    </w:p>
    <w:p w14:paraId="196E2315" w14:textId="4427E90D" w:rsidR="001D678F" w:rsidRDefault="001D678F" w:rsidP="007A4124">
      <w:pPr>
        <w:pStyle w:val="NoSpacing"/>
        <w:numPr>
          <w:ilvl w:val="0"/>
          <w:numId w:val="3"/>
        </w:numPr>
        <w:jc w:val="both"/>
      </w:pPr>
      <w:r>
        <w:t>The contents of the bundle and the preliminary documents should be agreed by all parties prior to the hearing</w:t>
      </w:r>
    </w:p>
    <w:p w14:paraId="436BBEBA" w14:textId="77777777" w:rsidR="00801500" w:rsidRDefault="00801500" w:rsidP="00801500">
      <w:pPr>
        <w:pStyle w:val="NoSpacing"/>
        <w:jc w:val="both"/>
      </w:pPr>
    </w:p>
    <w:p w14:paraId="6C0F2DC3" w14:textId="59E5256F" w:rsidR="00F13049" w:rsidRDefault="00F13049" w:rsidP="00801500">
      <w:pPr>
        <w:pStyle w:val="NoSpacing"/>
        <w:jc w:val="both"/>
      </w:pPr>
      <w:r>
        <w:t>HOW MANY COPIES ARE REQUIRED?</w:t>
      </w:r>
    </w:p>
    <w:p w14:paraId="1D5B7D5D" w14:textId="13A89EA2" w:rsidR="00F13049" w:rsidRDefault="00F13049" w:rsidP="00F13049">
      <w:pPr>
        <w:pStyle w:val="NoSpacing"/>
        <w:numPr>
          <w:ilvl w:val="0"/>
          <w:numId w:val="6"/>
        </w:numPr>
        <w:jc w:val="both"/>
      </w:pPr>
      <w:r>
        <w:t>Hearings before a Judge: one copy</w:t>
      </w:r>
    </w:p>
    <w:p w14:paraId="2A2B5399" w14:textId="4665BD61" w:rsidR="00F13049" w:rsidRDefault="00F13049" w:rsidP="00F13049">
      <w:pPr>
        <w:pStyle w:val="NoSpacing"/>
        <w:numPr>
          <w:ilvl w:val="0"/>
          <w:numId w:val="6"/>
        </w:numPr>
        <w:jc w:val="both"/>
      </w:pPr>
      <w:r>
        <w:t>Hearings before Magistrates: four copies</w:t>
      </w:r>
    </w:p>
    <w:p w14:paraId="7714D581" w14:textId="268EAE57" w:rsidR="00CB1D44" w:rsidRDefault="00F13049" w:rsidP="00801500">
      <w:pPr>
        <w:pStyle w:val="NoSpacing"/>
        <w:numPr>
          <w:ilvl w:val="0"/>
          <w:numId w:val="6"/>
        </w:numPr>
        <w:jc w:val="both"/>
      </w:pPr>
      <w:r>
        <w:t>If oral evidence is likely to be given at the hearing, a separate copy of the bundle should be brought to the court for the witness to use</w:t>
      </w:r>
      <w:bookmarkStart w:id="0" w:name="_GoBack"/>
      <w:bookmarkEnd w:id="0"/>
    </w:p>
    <w:p w14:paraId="1780B991" w14:textId="1A1E17D9" w:rsidR="00801500" w:rsidRDefault="00801500" w:rsidP="00801500">
      <w:pPr>
        <w:pStyle w:val="NoSpacing"/>
        <w:jc w:val="both"/>
      </w:pPr>
      <w:r>
        <w:lastRenderedPageBreak/>
        <w:t>WHEN?</w:t>
      </w:r>
    </w:p>
    <w:p w14:paraId="405BBAE7" w14:textId="7DADDDB4" w:rsidR="00801500" w:rsidRDefault="00801500" w:rsidP="00801500">
      <w:pPr>
        <w:pStyle w:val="NoSpacing"/>
        <w:numPr>
          <w:ilvl w:val="0"/>
          <w:numId w:val="4"/>
        </w:numPr>
        <w:jc w:val="both"/>
      </w:pPr>
      <w:r>
        <w:t>The bundle shall be lodged no less than 2 working days before the hearing</w:t>
      </w:r>
      <w:r w:rsidR="00873644">
        <w:t>, unless the court directs otherwise (usually earlier)</w:t>
      </w:r>
    </w:p>
    <w:p w14:paraId="294A9805" w14:textId="55ECD5DD" w:rsidR="00801500" w:rsidRDefault="00801500" w:rsidP="00801500">
      <w:pPr>
        <w:pStyle w:val="NoSpacing"/>
        <w:numPr>
          <w:ilvl w:val="0"/>
          <w:numId w:val="4"/>
        </w:numPr>
        <w:jc w:val="both"/>
      </w:pPr>
      <w:r>
        <w:t>The preliminary documents shall be lodged no later than 11am on the day before the hearing</w:t>
      </w:r>
    </w:p>
    <w:p w14:paraId="78DF3660" w14:textId="77777777" w:rsidR="00C97482" w:rsidRDefault="00C97482" w:rsidP="00C97482">
      <w:pPr>
        <w:pStyle w:val="NoSpacing"/>
        <w:jc w:val="both"/>
      </w:pPr>
    </w:p>
    <w:p w14:paraId="263605E0" w14:textId="78908272" w:rsidR="00C97482" w:rsidRDefault="00C97482" w:rsidP="00C97482">
      <w:pPr>
        <w:pStyle w:val="NoSpacing"/>
        <w:jc w:val="both"/>
      </w:pPr>
      <w:r>
        <w:t>WHERE?</w:t>
      </w:r>
    </w:p>
    <w:p w14:paraId="018C25BD" w14:textId="22E7FAB6" w:rsidR="00C97482" w:rsidRDefault="00C97482" w:rsidP="00C97482">
      <w:pPr>
        <w:pStyle w:val="NoSpacing"/>
        <w:numPr>
          <w:ilvl w:val="0"/>
          <w:numId w:val="5"/>
        </w:numPr>
        <w:jc w:val="both"/>
      </w:pPr>
      <w:r>
        <w:t>At the Court Office</w:t>
      </w:r>
    </w:p>
    <w:p w14:paraId="124B03C9" w14:textId="77777777" w:rsidR="00F13049" w:rsidRDefault="00F13049" w:rsidP="00F13049">
      <w:pPr>
        <w:pStyle w:val="NoSpacing"/>
        <w:jc w:val="both"/>
      </w:pPr>
    </w:p>
    <w:p w14:paraId="62DCF901" w14:textId="695B43F4" w:rsidR="00F13049" w:rsidRDefault="00F13049" w:rsidP="00F13049">
      <w:pPr>
        <w:pStyle w:val="NoSpacing"/>
        <w:jc w:val="both"/>
      </w:pPr>
      <w:r>
        <w:t>HOW?</w:t>
      </w:r>
    </w:p>
    <w:p w14:paraId="6D4ADD0D" w14:textId="0F9E62CD" w:rsidR="00F13049" w:rsidRDefault="00E81568" w:rsidP="00E81568">
      <w:pPr>
        <w:pStyle w:val="NoSpacing"/>
        <w:numPr>
          <w:ilvl w:val="0"/>
          <w:numId w:val="5"/>
        </w:numPr>
        <w:jc w:val="both"/>
      </w:pPr>
      <w:r>
        <w:t>If the bundle is delivered in person, a receipt should be obtained</w:t>
      </w:r>
    </w:p>
    <w:p w14:paraId="3A55FB81" w14:textId="3F4AAA49" w:rsidR="00E81568" w:rsidRDefault="00E81568" w:rsidP="00E81568">
      <w:pPr>
        <w:pStyle w:val="NoSpacing"/>
        <w:numPr>
          <w:ilvl w:val="0"/>
          <w:numId w:val="5"/>
        </w:numPr>
        <w:jc w:val="both"/>
      </w:pPr>
      <w:r>
        <w:t>If the bundle is delivered by post or DX, it should be marked with the date and place of the hearing on the outside of the package.  Proof of posting should be obtained</w:t>
      </w:r>
    </w:p>
    <w:p w14:paraId="4B8B6FBE" w14:textId="1F0257F2" w:rsidR="00E81568" w:rsidRDefault="00E81568" w:rsidP="00E81568">
      <w:pPr>
        <w:pStyle w:val="NoSpacing"/>
        <w:jc w:val="both"/>
      </w:pPr>
    </w:p>
    <w:p w14:paraId="37F49CE1" w14:textId="3827D642" w:rsidR="00E81568" w:rsidRDefault="005C5E3D" w:rsidP="00E81568">
      <w:pPr>
        <w:pStyle w:val="NoSpacing"/>
        <w:jc w:val="both"/>
      </w:pPr>
      <w:r>
        <w:t>CONTENTS OF THE BUNDLE</w:t>
      </w:r>
    </w:p>
    <w:p w14:paraId="239577F6" w14:textId="1D8624BE" w:rsidR="005C5E3D" w:rsidRPr="00721A0E" w:rsidRDefault="005C5E3D" w:rsidP="005C5E3D">
      <w:pPr>
        <w:pStyle w:val="NoSpacing"/>
        <w:numPr>
          <w:ilvl w:val="0"/>
          <w:numId w:val="7"/>
        </w:numPr>
        <w:jc w:val="both"/>
        <w:rPr>
          <w:u w:val="single"/>
        </w:rPr>
      </w:pPr>
      <w:r w:rsidRPr="00721A0E">
        <w:rPr>
          <w:u w:val="single"/>
        </w:rPr>
        <w:t>Only documents which are relevant to the hearing, which it is necessary for the court to read or which will actually be referred to during the hearing</w:t>
      </w:r>
    </w:p>
    <w:p w14:paraId="58F8CC41" w14:textId="0E884E96" w:rsidR="00AE5321" w:rsidRDefault="00AE5321" w:rsidP="005C5E3D">
      <w:pPr>
        <w:pStyle w:val="NoSpacing"/>
        <w:numPr>
          <w:ilvl w:val="0"/>
          <w:numId w:val="7"/>
        </w:numPr>
        <w:jc w:val="both"/>
      </w:pPr>
      <w:r>
        <w:t>The documents should be in the following sections:</w:t>
      </w:r>
    </w:p>
    <w:p w14:paraId="5BC0CD14" w14:textId="743A3498" w:rsidR="00AE5321" w:rsidRDefault="00AE5321" w:rsidP="00721A0E">
      <w:pPr>
        <w:pStyle w:val="NoSpacing"/>
        <w:ind w:left="720" w:firstLine="720"/>
        <w:jc w:val="both"/>
      </w:pPr>
      <w:r>
        <w:t>A: Preliminary documents and case management documents</w:t>
      </w:r>
    </w:p>
    <w:p w14:paraId="6DB28236" w14:textId="4659EA8E" w:rsidR="00AE5321" w:rsidRDefault="00AE5321" w:rsidP="00721A0E">
      <w:pPr>
        <w:pStyle w:val="NoSpacing"/>
        <w:ind w:left="720" w:firstLine="720"/>
        <w:jc w:val="both"/>
      </w:pPr>
      <w:r>
        <w:t>B: Applications and orders</w:t>
      </w:r>
    </w:p>
    <w:p w14:paraId="7800A978" w14:textId="26AA1933" w:rsidR="00AE5321" w:rsidRDefault="00AE5321" w:rsidP="00721A0E">
      <w:pPr>
        <w:pStyle w:val="NoSpacing"/>
        <w:ind w:left="720" w:firstLine="720"/>
        <w:jc w:val="both"/>
      </w:pPr>
      <w:r>
        <w:t>C: Statements and affidavits</w:t>
      </w:r>
    </w:p>
    <w:p w14:paraId="5B59FF75" w14:textId="12D053FF" w:rsidR="00AE5321" w:rsidRDefault="00AE5321" w:rsidP="00721A0E">
      <w:pPr>
        <w:pStyle w:val="NoSpacing"/>
        <w:ind w:left="720" w:firstLine="720"/>
        <w:jc w:val="both"/>
      </w:pPr>
      <w:r>
        <w:t>D: Care plans</w:t>
      </w:r>
    </w:p>
    <w:p w14:paraId="6695905E" w14:textId="0CC80454" w:rsidR="00AE5321" w:rsidRDefault="00AE5321" w:rsidP="00721A0E">
      <w:pPr>
        <w:pStyle w:val="NoSpacing"/>
        <w:ind w:left="720" w:firstLine="720"/>
        <w:jc w:val="both"/>
      </w:pPr>
      <w:r>
        <w:t>E: Expert reports</w:t>
      </w:r>
    </w:p>
    <w:p w14:paraId="5D331C0D" w14:textId="479734CA" w:rsidR="00AE5321" w:rsidRDefault="00AE5321" w:rsidP="00721A0E">
      <w:pPr>
        <w:pStyle w:val="NoSpacing"/>
        <w:ind w:left="720" w:firstLine="720"/>
        <w:jc w:val="both"/>
      </w:pPr>
      <w:r>
        <w:t>F and onwards: Other documents</w:t>
      </w:r>
    </w:p>
    <w:p w14:paraId="0ED0FBCF" w14:textId="4E63BCAE" w:rsidR="00AE5321" w:rsidRDefault="00AE5321" w:rsidP="00AE5321">
      <w:pPr>
        <w:pStyle w:val="NoSpacing"/>
        <w:numPr>
          <w:ilvl w:val="0"/>
          <w:numId w:val="8"/>
        </w:numPr>
        <w:jc w:val="both"/>
      </w:pPr>
      <w:r>
        <w:t xml:space="preserve">The following documents </w:t>
      </w:r>
      <w:r w:rsidR="000832F9">
        <w:t xml:space="preserve">(“excluded documents”) </w:t>
      </w:r>
      <w:r>
        <w:t xml:space="preserve">should </w:t>
      </w:r>
      <w:r w:rsidRPr="00787B65">
        <w:rPr>
          <w:u w:val="single"/>
        </w:rPr>
        <w:t>not</w:t>
      </w:r>
      <w:r>
        <w:t xml:space="preserve"> form part of the court bundle, unless the court has specifically directed otherwise</w:t>
      </w:r>
      <w:r w:rsidR="00A046A2">
        <w:t>:</w:t>
      </w:r>
    </w:p>
    <w:p w14:paraId="38B1FEEF" w14:textId="27780C1F" w:rsidR="004E2A48" w:rsidRDefault="00A046A2" w:rsidP="00A046A2">
      <w:pPr>
        <w:pStyle w:val="NoSpacing"/>
        <w:ind w:left="1440"/>
        <w:jc w:val="both"/>
      </w:pPr>
      <w:r>
        <w:t>Correspondence (including letters of instruction to experts, not including open offers of settlement in financial remedy proceedings)</w:t>
      </w:r>
    </w:p>
    <w:p w14:paraId="73BFFDC9" w14:textId="16FC78D1" w:rsidR="00A046A2" w:rsidRDefault="00A046A2" w:rsidP="00A046A2">
      <w:pPr>
        <w:pStyle w:val="NoSpacing"/>
        <w:ind w:left="1440"/>
        <w:jc w:val="both"/>
      </w:pPr>
      <w:r>
        <w:t>Medical records</w:t>
      </w:r>
    </w:p>
    <w:p w14:paraId="4375BDBB" w14:textId="7C3A039F" w:rsidR="00A046A2" w:rsidRDefault="00A046A2" w:rsidP="00A046A2">
      <w:pPr>
        <w:pStyle w:val="NoSpacing"/>
        <w:ind w:left="1440"/>
        <w:jc w:val="both"/>
      </w:pPr>
      <w:r>
        <w:t>Bank and credit card statements and other financial records</w:t>
      </w:r>
    </w:p>
    <w:p w14:paraId="6EB3A125" w14:textId="077470D4" w:rsidR="00A046A2" w:rsidRDefault="00A046A2" w:rsidP="00A046A2">
      <w:pPr>
        <w:pStyle w:val="NoSpacing"/>
        <w:ind w:left="1440"/>
        <w:jc w:val="both"/>
      </w:pPr>
      <w:r>
        <w:t>Contact notes</w:t>
      </w:r>
    </w:p>
    <w:p w14:paraId="58A9DC47" w14:textId="767DCC92" w:rsidR="00A046A2" w:rsidRDefault="00A046A2" w:rsidP="00A046A2">
      <w:pPr>
        <w:pStyle w:val="NoSpacing"/>
        <w:ind w:left="1440"/>
        <w:jc w:val="both"/>
      </w:pPr>
      <w:r>
        <w:t>Foster carer logs</w:t>
      </w:r>
    </w:p>
    <w:p w14:paraId="1919311C" w14:textId="3E6F7D61" w:rsidR="00A046A2" w:rsidRDefault="00A046A2" w:rsidP="00A046A2">
      <w:pPr>
        <w:pStyle w:val="NoSpacing"/>
        <w:ind w:left="1440"/>
        <w:jc w:val="both"/>
      </w:pPr>
      <w:r>
        <w:t>Social services files</w:t>
      </w:r>
    </w:p>
    <w:p w14:paraId="531DEF3B" w14:textId="1CF707E5" w:rsidR="00A046A2" w:rsidRDefault="00A046A2" w:rsidP="00A046A2">
      <w:pPr>
        <w:pStyle w:val="NoSpacing"/>
        <w:ind w:left="1440"/>
        <w:jc w:val="both"/>
      </w:pPr>
      <w:r>
        <w:t>Police records</w:t>
      </w:r>
    </w:p>
    <w:p w14:paraId="518A0FE6" w14:textId="51226544" w:rsidR="00A046A2" w:rsidRPr="00287C75" w:rsidRDefault="00447EBA" w:rsidP="00447EBA">
      <w:pPr>
        <w:pStyle w:val="NoSpacing"/>
        <w:numPr>
          <w:ilvl w:val="0"/>
          <w:numId w:val="8"/>
        </w:numPr>
        <w:jc w:val="both"/>
      </w:pPr>
      <w:r>
        <w:t xml:space="preserve">All documents must be copies of the originals which have been </w:t>
      </w:r>
      <w:r w:rsidRPr="00721A0E">
        <w:rPr>
          <w:u w:val="single"/>
        </w:rPr>
        <w:t>signed and dated</w:t>
      </w:r>
    </w:p>
    <w:p w14:paraId="0DE66B45" w14:textId="2D21A68B" w:rsidR="00287C75" w:rsidRDefault="00287C75" w:rsidP="00287C75">
      <w:pPr>
        <w:pStyle w:val="NoSpacing"/>
        <w:numPr>
          <w:ilvl w:val="0"/>
          <w:numId w:val="8"/>
        </w:numPr>
        <w:jc w:val="both"/>
      </w:pPr>
      <w:r>
        <w:t>The bundle should include an index of all the documents contained and their page numbers</w:t>
      </w:r>
      <w:r w:rsidR="00C04298">
        <w:t>.  It may be sensible to include the total number of pages</w:t>
      </w:r>
    </w:p>
    <w:p w14:paraId="51374A18" w14:textId="77777777" w:rsidR="00447EBA" w:rsidRDefault="00447EBA" w:rsidP="00447EBA">
      <w:pPr>
        <w:pStyle w:val="NoSpacing"/>
        <w:jc w:val="both"/>
      </w:pPr>
    </w:p>
    <w:p w14:paraId="2F93C6C8" w14:textId="033F779D" w:rsidR="00447EBA" w:rsidRDefault="00447EBA" w:rsidP="00447EBA">
      <w:pPr>
        <w:pStyle w:val="NoSpacing"/>
        <w:jc w:val="both"/>
      </w:pPr>
      <w:r>
        <w:t>PRELIMINARY DOCUMENTS</w:t>
      </w:r>
    </w:p>
    <w:p w14:paraId="45A1918D" w14:textId="4FAB081C" w:rsidR="002E06FE" w:rsidRDefault="002E06FE" w:rsidP="002E06FE">
      <w:pPr>
        <w:pStyle w:val="NoSpacing"/>
        <w:numPr>
          <w:ilvl w:val="0"/>
          <w:numId w:val="8"/>
        </w:numPr>
        <w:jc w:val="both"/>
      </w:pPr>
      <w:r>
        <w:t>Preliminary documents should be agreed by all parties</w:t>
      </w:r>
    </w:p>
    <w:p w14:paraId="2FCEFC80" w14:textId="32B97B17" w:rsidR="006A65E4" w:rsidRDefault="006A65E4" w:rsidP="002E06FE">
      <w:pPr>
        <w:pStyle w:val="NoSpacing"/>
        <w:numPr>
          <w:ilvl w:val="0"/>
          <w:numId w:val="8"/>
        </w:numPr>
        <w:jc w:val="both"/>
      </w:pPr>
      <w:r>
        <w:t>To be provided not later than 11am on the day before the hearing</w:t>
      </w:r>
    </w:p>
    <w:p w14:paraId="379E1A14" w14:textId="74F993F7" w:rsidR="00EF5929" w:rsidRDefault="00EF5929" w:rsidP="002E06FE">
      <w:pPr>
        <w:pStyle w:val="NoSpacing"/>
        <w:numPr>
          <w:ilvl w:val="0"/>
          <w:numId w:val="8"/>
        </w:numPr>
        <w:jc w:val="both"/>
      </w:pPr>
      <w:r>
        <w:t>Preliminary documents which have been superseded should be removed from the court bundle</w:t>
      </w:r>
      <w:r w:rsidR="00CE712C">
        <w:t>: the court only requires the preliminary documents relevant for the hearing</w:t>
      </w:r>
    </w:p>
    <w:p w14:paraId="686FCD94" w14:textId="2CFC0770" w:rsidR="004460E0" w:rsidRDefault="004460E0" w:rsidP="002E06FE">
      <w:pPr>
        <w:pStyle w:val="NoSpacing"/>
        <w:numPr>
          <w:ilvl w:val="0"/>
          <w:numId w:val="8"/>
        </w:numPr>
        <w:jc w:val="both"/>
      </w:pPr>
      <w:r>
        <w:t>Should be as short and succinct as possible</w:t>
      </w:r>
    </w:p>
    <w:p w14:paraId="242EA852" w14:textId="2AEB5CFE" w:rsidR="004460E0" w:rsidRDefault="004460E0" w:rsidP="002E06FE">
      <w:pPr>
        <w:pStyle w:val="NoSpacing"/>
        <w:numPr>
          <w:ilvl w:val="0"/>
          <w:numId w:val="8"/>
        </w:numPr>
        <w:jc w:val="both"/>
      </w:pPr>
      <w:r>
        <w:t>State below heading the date prepared and the date of the hearing</w:t>
      </w:r>
    </w:p>
    <w:p w14:paraId="533DC1C5" w14:textId="4CC682E4" w:rsidR="00447EBA" w:rsidRDefault="00D6368D" w:rsidP="00447EBA">
      <w:pPr>
        <w:pStyle w:val="NoSpacing"/>
        <w:numPr>
          <w:ilvl w:val="0"/>
          <w:numId w:val="8"/>
        </w:numPr>
        <w:jc w:val="both"/>
      </w:pPr>
      <w:r>
        <w:t>Should be cross-referenced with the other parts of the bundle</w:t>
      </w:r>
    </w:p>
    <w:p w14:paraId="34DC7BBB" w14:textId="26704603" w:rsidR="00447EBA" w:rsidRDefault="00806762" w:rsidP="00447EBA">
      <w:pPr>
        <w:pStyle w:val="NoSpacing"/>
        <w:jc w:val="both"/>
      </w:pPr>
      <w:r>
        <w:t>Case summary</w:t>
      </w:r>
    </w:p>
    <w:p w14:paraId="617A287E" w14:textId="7B6A98AE" w:rsidR="00806762" w:rsidRDefault="00806762" w:rsidP="00806762">
      <w:pPr>
        <w:pStyle w:val="NoSpacing"/>
        <w:numPr>
          <w:ilvl w:val="0"/>
          <w:numId w:val="8"/>
        </w:numPr>
        <w:jc w:val="both"/>
      </w:pPr>
      <w:r>
        <w:t>Concise summary of the background</w:t>
      </w:r>
    </w:p>
    <w:p w14:paraId="4B223C28" w14:textId="42E237AC" w:rsidR="00806762" w:rsidRDefault="00806762" w:rsidP="00806762">
      <w:pPr>
        <w:pStyle w:val="NoSpacing"/>
        <w:numPr>
          <w:ilvl w:val="0"/>
          <w:numId w:val="8"/>
        </w:numPr>
        <w:jc w:val="both"/>
      </w:pPr>
      <w:r>
        <w:t>Confined to matters relevant to that hearing and the management of the case</w:t>
      </w:r>
    </w:p>
    <w:p w14:paraId="4370365C" w14:textId="7B7E8990" w:rsidR="00806762" w:rsidRDefault="00806762" w:rsidP="00806762">
      <w:pPr>
        <w:pStyle w:val="NoSpacing"/>
        <w:numPr>
          <w:ilvl w:val="0"/>
          <w:numId w:val="8"/>
        </w:numPr>
        <w:jc w:val="both"/>
      </w:pPr>
      <w:r>
        <w:t>Limited to four A4 pages where practicable</w:t>
      </w:r>
    </w:p>
    <w:p w14:paraId="225B391F" w14:textId="679865FC" w:rsidR="004460E0" w:rsidRDefault="004460E0" w:rsidP="00806762">
      <w:pPr>
        <w:pStyle w:val="NoSpacing"/>
        <w:numPr>
          <w:ilvl w:val="0"/>
          <w:numId w:val="8"/>
        </w:numPr>
        <w:jc w:val="both"/>
      </w:pPr>
      <w:r>
        <w:t>Where proceedings relate to a child and the case is before M</w:t>
      </w:r>
      <w:r w:rsidR="0098096B">
        <w:t>agistrates, should anonymise the child and parties,</w:t>
      </w:r>
      <w:r>
        <w:t xml:space="preserve"> and </w:t>
      </w:r>
      <w:r w:rsidR="0098096B">
        <w:t>set out the number of pages in the bundle</w:t>
      </w:r>
    </w:p>
    <w:p w14:paraId="74E3CC0D" w14:textId="77777777" w:rsidR="00F30D2C" w:rsidRDefault="00F30D2C" w:rsidP="00F30D2C">
      <w:pPr>
        <w:pStyle w:val="NoSpacing"/>
        <w:jc w:val="both"/>
      </w:pPr>
    </w:p>
    <w:p w14:paraId="621801BC" w14:textId="112A5113" w:rsidR="00F30D2C" w:rsidRDefault="00F30D2C" w:rsidP="00F30D2C">
      <w:pPr>
        <w:pStyle w:val="NoSpacing"/>
        <w:jc w:val="both"/>
      </w:pPr>
      <w:r>
        <w:t>Statement of issues</w:t>
      </w:r>
    </w:p>
    <w:p w14:paraId="4E07829B" w14:textId="5A608FB8" w:rsidR="00F30D2C" w:rsidRDefault="00F30D2C" w:rsidP="00F30D2C">
      <w:pPr>
        <w:pStyle w:val="NoSpacing"/>
        <w:numPr>
          <w:ilvl w:val="0"/>
          <w:numId w:val="9"/>
        </w:numPr>
        <w:jc w:val="both"/>
      </w:pPr>
      <w:r>
        <w:t>Includes issues to be determined at that hearing and at the final hearing</w:t>
      </w:r>
    </w:p>
    <w:p w14:paraId="47FAD46A" w14:textId="77777777" w:rsidR="00634F00" w:rsidRDefault="00634F00" w:rsidP="00634F00">
      <w:pPr>
        <w:pStyle w:val="NoSpacing"/>
        <w:jc w:val="both"/>
      </w:pPr>
    </w:p>
    <w:p w14:paraId="7CB3B4E1" w14:textId="4B49FE8E" w:rsidR="00634F00" w:rsidRDefault="00634F00" w:rsidP="00634F00">
      <w:pPr>
        <w:pStyle w:val="NoSpacing"/>
        <w:jc w:val="both"/>
      </w:pPr>
      <w:r>
        <w:t>Agreed schedule of assets</w:t>
      </w:r>
    </w:p>
    <w:p w14:paraId="152F1BCB" w14:textId="48B7937A" w:rsidR="00634F00" w:rsidRDefault="00634F00" w:rsidP="00634F00">
      <w:pPr>
        <w:pStyle w:val="NoSpacing"/>
        <w:numPr>
          <w:ilvl w:val="0"/>
          <w:numId w:val="9"/>
        </w:numPr>
        <w:jc w:val="both"/>
      </w:pPr>
      <w:r>
        <w:t xml:space="preserve">In financial remedy </w:t>
      </w:r>
      <w:r w:rsidR="002E06FE">
        <w:t xml:space="preserve">proceedings </w:t>
      </w:r>
    </w:p>
    <w:p w14:paraId="1E5267B0" w14:textId="77777777" w:rsidR="00F30D2C" w:rsidRDefault="00F30D2C" w:rsidP="00F30D2C">
      <w:pPr>
        <w:pStyle w:val="NoSpacing"/>
        <w:jc w:val="both"/>
      </w:pPr>
    </w:p>
    <w:p w14:paraId="45767C4E" w14:textId="3592B2D5" w:rsidR="00F30D2C" w:rsidRDefault="00F30D2C" w:rsidP="00F30D2C">
      <w:pPr>
        <w:pStyle w:val="NoSpacing"/>
        <w:jc w:val="both"/>
      </w:pPr>
      <w:r>
        <w:t>Position statement</w:t>
      </w:r>
      <w:r w:rsidR="004D7AB0">
        <w:t>s</w:t>
      </w:r>
    </w:p>
    <w:p w14:paraId="1614C33D" w14:textId="42679370" w:rsidR="004D7AB0" w:rsidRDefault="004D7AB0" w:rsidP="004D7AB0">
      <w:pPr>
        <w:pStyle w:val="NoSpacing"/>
        <w:numPr>
          <w:ilvl w:val="0"/>
          <w:numId w:val="9"/>
        </w:numPr>
        <w:jc w:val="both"/>
      </w:pPr>
      <w:r>
        <w:t>From each party</w:t>
      </w:r>
    </w:p>
    <w:p w14:paraId="47848823" w14:textId="20438ED1" w:rsidR="004D7AB0" w:rsidRDefault="004D7AB0" w:rsidP="004D7AB0">
      <w:pPr>
        <w:pStyle w:val="NoSpacing"/>
        <w:numPr>
          <w:ilvl w:val="0"/>
          <w:numId w:val="9"/>
        </w:numPr>
        <w:jc w:val="both"/>
      </w:pPr>
      <w:r>
        <w:t>To include a summary of the order sought by that party at that hearing and at the final hearing</w:t>
      </w:r>
    </w:p>
    <w:p w14:paraId="1A8FF8AC" w14:textId="77777777" w:rsidR="004D7AB0" w:rsidRDefault="004D7AB0" w:rsidP="004D7AB0">
      <w:pPr>
        <w:pStyle w:val="NoSpacing"/>
        <w:jc w:val="both"/>
      </w:pPr>
    </w:p>
    <w:p w14:paraId="25017A5E" w14:textId="1A328C51" w:rsidR="004D7AB0" w:rsidRDefault="004D7AB0" w:rsidP="004D7AB0">
      <w:pPr>
        <w:pStyle w:val="NoSpacing"/>
        <w:jc w:val="both"/>
      </w:pPr>
      <w:r>
        <w:t>Chronology</w:t>
      </w:r>
    </w:p>
    <w:p w14:paraId="44C02404" w14:textId="7B5AE2CE" w:rsidR="004D7AB0" w:rsidRDefault="004D7AB0" w:rsidP="004D7AB0">
      <w:pPr>
        <w:pStyle w:val="NoSpacing"/>
        <w:numPr>
          <w:ilvl w:val="0"/>
          <w:numId w:val="11"/>
        </w:numPr>
        <w:jc w:val="both"/>
      </w:pPr>
      <w:r>
        <w:t>For final hearings, or where the case summary is insufficient</w:t>
      </w:r>
    </w:p>
    <w:p w14:paraId="2C3EAC0B" w14:textId="0EFD1E6B" w:rsidR="004D7AB0" w:rsidRDefault="004D7AB0" w:rsidP="004D7AB0">
      <w:pPr>
        <w:pStyle w:val="NoSpacing"/>
        <w:numPr>
          <w:ilvl w:val="0"/>
          <w:numId w:val="11"/>
        </w:numPr>
        <w:jc w:val="both"/>
      </w:pPr>
      <w:r>
        <w:t>Must be up-to-date</w:t>
      </w:r>
    </w:p>
    <w:p w14:paraId="6D48DF24" w14:textId="1C4E3B06" w:rsidR="00906D6D" w:rsidRDefault="00906D6D" w:rsidP="004D7AB0">
      <w:pPr>
        <w:pStyle w:val="NoSpacing"/>
        <w:numPr>
          <w:ilvl w:val="0"/>
          <w:numId w:val="11"/>
        </w:numPr>
        <w:jc w:val="both"/>
      </w:pPr>
      <w:r>
        <w:t xml:space="preserve">A social work chronology must be succinct and concise, and must comply with the local </w:t>
      </w:r>
      <w:hyperlink r:id="rId9" w:history="1">
        <w:r w:rsidRPr="00906D6D">
          <w:rPr>
            <w:rStyle w:val="Hyperlink"/>
          </w:rPr>
          <w:t>Practice Guidance for Social Workers</w:t>
        </w:r>
      </w:hyperlink>
    </w:p>
    <w:p w14:paraId="68BBFD9B" w14:textId="77777777" w:rsidR="004D7AB0" w:rsidRDefault="004D7AB0" w:rsidP="004D7AB0">
      <w:pPr>
        <w:pStyle w:val="NoSpacing"/>
        <w:jc w:val="both"/>
      </w:pPr>
    </w:p>
    <w:p w14:paraId="5ACAA178" w14:textId="0CC41CE4" w:rsidR="004D7AB0" w:rsidRDefault="004D7AB0" w:rsidP="004D7AB0">
      <w:pPr>
        <w:pStyle w:val="NoSpacing"/>
        <w:jc w:val="both"/>
      </w:pPr>
      <w:r>
        <w:t>Skeleton arguments</w:t>
      </w:r>
    </w:p>
    <w:p w14:paraId="2AA1659E" w14:textId="2FC91DD4" w:rsidR="004D7AB0" w:rsidRDefault="004D7AB0" w:rsidP="004D7AB0">
      <w:pPr>
        <w:pStyle w:val="NoSpacing"/>
        <w:numPr>
          <w:ilvl w:val="0"/>
          <w:numId w:val="10"/>
        </w:numPr>
        <w:jc w:val="both"/>
      </w:pPr>
      <w:r>
        <w:t>To be included where appropriate</w:t>
      </w:r>
    </w:p>
    <w:p w14:paraId="44F96CA0" w14:textId="38A6F695" w:rsidR="004D7AB0" w:rsidRDefault="004D7AB0" w:rsidP="004D7AB0">
      <w:pPr>
        <w:pStyle w:val="NoSpacing"/>
        <w:numPr>
          <w:ilvl w:val="0"/>
          <w:numId w:val="10"/>
        </w:numPr>
        <w:jc w:val="both"/>
      </w:pPr>
      <w:r>
        <w:t>Any authorities relied on should not be included in the court bundle; copies should be provided in a separate composite agreed bundle</w:t>
      </w:r>
    </w:p>
    <w:p w14:paraId="784E78EF" w14:textId="77777777" w:rsidR="004D7AB0" w:rsidRDefault="004D7AB0" w:rsidP="004D7AB0">
      <w:pPr>
        <w:pStyle w:val="NoSpacing"/>
        <w:jc w:val="both"/>
      </w:pPr>
    </w:p>
    <w:p w14:paraId="75825B9D" w14:textId="0C4F6CCC" w:rsidR="004D7AB0" w:rsidRDefault="007A16B3" w:rsidP="004D7AB0">
      <w:pPr>
        <w:pStyle w:val="NoSpacing"/>
        <w:jc w:val="both"/>
      </w:pPr>
      <w:r>
        <w:t>A list of essential reading for the hearing</w:t>
      </w:r>
    </w:p>
    <w:p w14:paraId="00385632" w14:textId="1CE76B09" w:rsidR="007A16B3" w:rsidRDefault="00A47BF9" w:rsidP="00A47BF9">
      <w:pPr>
        <w:pStyle w:val="NoSpacing"/>
        <w:numPr>
          <w:ilvl w:val="0"/>
          <w:numId w:val="12"/>
        </w:numPr>
        <w:jc w:val="both"/>
      </w:pPr>
      <w:r>
        <w:t xml:space="preserve">To include only the documents which the Judge/Magistrates </w:t>
      </w:r>
      <w:r w:rsidRPr="00A47BF9">
        <w:rPr>
          <w:u w:val="single"/>
        </w:rPr>
        <w:t>must</w:t>
      </w:r>
      <w:r>
        <w:t xml:space="preserve"> read in advance of the hearing</w:t>
      </w:r>
    </w:p>
    <w:p w14:paraId="42DC6A51" w14:textId="77777777" w:rsidR="00A47BF9" w:rsidRDefault="00A47BF9" w:rsidP="00A47BF9">
      <w:pPr>
        <w:pStyle w:val="NoSpacing"/>
        <w:jc w:val="both"/>
      </w:pPr>
    </w:p>
    <w:p w14:paraId="5E0D7D2A" w14:textId="46879F2C" w:rsidR="007A16B3" w:rsidRDefault="007A16B3" w:rsidP="004D7AB0">
      <w:pPr>
        <w:pStyle w:val="NoSpacing"/>
        <w:jc w:val="both"/>
      </w:pPr>
      <w:r>
        <w:t>A time estimate</w:t>
      </w:r>
    </w:p>
    <w:p w14:paraId="7502084A" w14:textId="001313B0" w:rsidR="00A47BF9" w:rsidRDefault="00A47BF9" w:rsidP="00A47BF9">
      <w:pPr>
        <w:pStyle w:val="NoSpacing"/>
        <w:numPr>
          <w:ilvl w:val="0"/>
          <w:numId w:val="12"/>
        </w:numPr>
        <w:jc w:val="both"/>
      </w:pPr>
      <w:r>
        <w:t>To specify: time for judicial pre-reading; the time for hearing all evidence and submissions; likely time required for preparing and delivering judgment</w:t>
      </w:r>
    </w:p>
    <w:p w14:paraId="78D62325" w14:textId="77777777" w:rsidR="00634F00" w:rsidRDefault="00634F00" w:rsidP="00634F00">
      <w:pPr>
        <w:pStyle w:val="NoSpacing"/>
        <w:jc w:val="both"/>
      </w:pPr>
    </w:p>
    <w:p w14:paraId="4A0F4C9C" w14:textId="79D9EB8D" w:rsidR="00634F00" w:rsidRDefault="004460E0" w:rsidP="00634F00">
      <w:pPr>
        <w:pStyle w:val="NoSpacing"/>
        <w:jc w:val="both"/>
      </w:pPr>
      <w:r>
        <w:t>WITNESS STATEMENTS</w:t>
      </w:r>
    </w:p>
    <w:p w14:paraId="3B8F0C5C" w14:textId="41EAD164" w:rsidR="004460E0" w:rsidRPr="000832F9" w:rsidRDefault="004460E0" w:rsidP="004460E0">
      <w:pPr>
        <w:pStyle w:val="NoSpacing"/>
        <w:numPr>
          <w:ilvl w:val="0"/>
          <w:numId w:val="12"/>
        </w:numPr>
        <w:jc w:val="both"/>
        <w:rPr>
          <w:u w:val="single"/>
        </w:rPr>
      </w:pPr>
      <w:r w:rsidRPr="000832F9">
        <w:rPr>
          <w:u w:val="single"/>
        </w:rPr>
        <w:t>Must be signed, dated and accompanied by a statement of truth</w:t>
      </w:r>
    </w:p>
    <w:p w14:paraId="2BB10A74" w14:textId="03CDFF5E" w:rsidR="004460E0" w:rsidRDefault="000832F9" w:rsidP="004460E0">
      <w:pPr>
        <w:pStyle w:val="NoSpacing"/>
        <w:numPr>
          <w:ilvl w:val="0"/>
          <w:numId w:val="12"/>
        </w:numPr>
        <w:jc w:val="both"/>
      </w:pPr>
      <w:r>
        <w:t>Must contain the date in the top right corner of the front page</w:t>
      </w:r>
    </w:p>
    <w:p w14:paraId="2FFC7980" w14:textId="5926061F" w:rsidR="000832F9" w:rsidRDefault="000832F9" w:rsidP="004460E0">
      <w:pPr>
        <w:pStyle w:val="NoSpacing"/>
        <w:numPr>
          <w:ilvl w:val="0"/>
          <w:numId w:val="12"/>
        </w:numPr>
        <w:jc w:val="both"/>
      </w:pPr>
      <w:r>
        <w:t>Must not exhibit or duplicate any “excluded documents”</w:t>
      </w:r>
    </w:p>
    <w:p w14:paraId="13D835E2" w14:textId="767A712C" w:rsidR="009F5F34" w:rsidRDefault="009F5F34" w:rsidP="004460E0">
      <w:pPr>
        <w:pStyle w:val="NoSpacing"/>
        <w:numPr>
          <w:ilvl w:val="0"/>
          <w:numId w:val="12"/>
        </w:numPr>
        <w:jc w:val="both"/>
      </w:pPr>
      <w:r>
        <w:t xml:space="preserve">Social work statements should follow the </w:t>
      </w:r>
      <w:hyperlink r:id="rId10" w:history="1">
        <w:r w:rsidRPr="009F5F34">
          <w:rPr>
            <w:rStyle w:val="Hyperlink"/>
          </w:rPr>
          <w:t>National Guidance</w:t>
        </w:r>
      </w:hyperlink>
      <w:r>
        <w:t xml:space="preserve"> and comply with the local </w:t>
      </w:r>
      <w:hyperlink r:id="rId11" w:history="1">
        <w:r w:rsidRPr="009F5F34">
          <w:rPr>
            <w:rStyle w:val="Hyperlink"/>
          </w:rPr>
          <w:t>Practice Guidance for Social Workers</w:t>
        </w:r>
      </w:hyperlink>
    </w:p>
    <w:p w14:paraId="5C35D6BA" w14:textId="77777777" w:rsidR="009F5F34" w:rsidRDefault="009F5F34" w:rsidP="00EF53BE">
      <w:pPr>
        <w:pStyle w:val="NoSpacing"/>
        <w:jc w:val="both"/>
      </w:pPr>
    </w:p>
    <w:p w14:paraId="7CC72CBE" w14:textId="77777777" w:rsidR="00B5783D" w:rsidRDefault="00B5783D" w:rsidP="00EF53BE">
      <w:pPr>
        <w:pStyle w:val="NoSpacing"/>
        <w:jc w:val="both"/>
      </w:pPr>
    </w:p>
    <w:p w14:paraId="000C6A24" w14:textId="77777777" w:rsidR="00B5783D" w:rsidRDefault="00B5783D" w:rsidP="00EF53BE">
      <w:pPr>
        <w:pStyle w:val="NoSpacing"/>
        <w:jc w:val="both"/>
      </w:pPr>
    </w:p>
    <w:tbl>
      <w:tblPr>
        <w:tblStyle w:val="TableGrid"/>
        <w:tblW w:w="0" w:type="auto"/>
        <w:jc w:val="center"/>
        <w:tblLook w:val="04A0" w:firstRow="1" w:lastRow="0" w:firstColumn="1" w:lastColumn="0" w:noHBand="0" w:noVBand="1"/>
      </w:tblPr>
      <w:tblGrid>
        <w:gridCol w:w="2320"/>
        <w:gridCol w:w="1474"/>
        <w:gridCol w:w="2049"/>
        <w:gridCol w:w="3112"/>
      </w:tblGrid>
      <w:tr w:rsidR="00326081" w14:paraId="1AD6447F" w14:textId="77777777" w:rsidTr="00326081">
        <w:trPr>
          <w:jc w:val="center"/>
        </w:trPr>
        <w:tc>
          <w:tcPr>
            <w:tcW w:w="2320" w:type="dxa"/>
          </w:tcPr>
          <w:p w14:paraId="0ED8F8D3" w14:textId="000044E3" w:rsidR="00287C75" w:rsidRDefault="00451450" w:rsidP="00D378CC">
            <w:pPr>
              <w:pStyle w:val="NoSpacing"/>
              <w:jc w:val="center"/>
            </w:pPr>
            <w:r>
              <w:t>DOCUMENT TYPE</w:t>
            </w:r>
          </w:p>
        </w:tc>
        <w:tc>
          <w:tcPr>
            <w:tcW w:w="1474" w:type="dxa"/>
          </w:tcPr>
          <w:p w14:paraId="34CE8122" w14:textId="255F6DF7" w:rsidR="00287C75" w:rsidRDefault="00451450" w:rsidP="00D378CC">
            <w:pPr>
              <w:pStyle w:val="NoSpacing"/>
              <w:jc w:val="center"/>
            </w:pPr>
            <w:r>
              <w:t>SECTION</w:t>
            </w:r>
          </w:p>
        </w:tc>
        <w:tc>
          <w:tcPr>
            <w:tcW w:w="2049" w:type="dxa"/>
          </w:tcPr>
          <w:p w14:paraId="713CBDF4" w14:textId="590A6ABB" w:rsidR="00287C75" w:rsidRDefault="00451450" w:rsidP="005E428F">
            <w:pPr>
              <w:pStyle w:val="NoSpacing"/>
              <w:jc w:val="center"/>
            </w:pPr>
            <w:r>
              <w:t>LEAVE REQUIRED?</w:t>
            </w:r>
          </w:p>
        </w:tc>
        <w:tc>
          <w:tcPr>
            <w:tcW w:w="3112" w:type="dxa"/>
          </w:tcPr>
          <w:p w14:paraId="42503A38" w14:textId="44676EF0" w:rsidR="00287C75" w:rsidRDefault="005E428F" w:rsidP="00326081">
            <w:pPr>
              <w:pStyle w:val="NoSpacing"/>
              <w:ind w:left="-424" w:firstLine="424"/>
              <w:jc w:val="center"/>
            </w:pPr>
            <w:r>
              <w:t>LATEST</w:t>
            </w:r>
            <w:r w:rsidR="00451450">
              <w:t xml:space="preserve"> TO LODGE</w:t>
            </w:r>
          </w:p>
        </w:tc>
      </w:tr>
      <w:tr w:rsidR="00326081" w14:paraId="6947EF1C" w14:textId="77777777" w:rsidTr="00326081">
        <w:trPr>
          <w:jc w:val="center"/>
        </w:trPr>
        <w:tc>
          <w:tcPr>
            <w:tcW w:w="2320" w:type="dxa"/>
          </w:tcPr>
          <w:p w14:paraId="290E80EC" w14:textId="31208803" w:rsidR="00287C75" w:rsidRDefault="00EC0796" w:rsidP="00D378CC">
            <w:pPr>
              <w:pStyle w:val="NoSpacing"/>
              <w:jc w:val="center"/>
            </w:pPr>
            <w:r>
              <w:t>Case summary</w:t>
            </w:r>
          </w:p>
        </w:tc>
        <w:tc>
          <w:tcPr>
            <w:tcW w:w="1474" w:type="dxa"/>
          </w:tcPr>
          <w:p w14:paraId="2C74ADD6" w14:textId="5776E4E1" w:rsidR="00287C75" w:rsidRDefault="00D378CC" w:rsidP="00D378CC">
            <w:pPr>
              <w:pStyle w:val="NoSpacing"/>
              <w:jc w:val="center"/>
            </w:pPr>
            <w:r>
              <w:t>A</w:t>
            </w:r>
          </w:p>
        </w:tc>
        <w:tc>
          <w:tcPr>
            <w:tcW w:w="2049" w:type="dxa"/>
          </w:tcPr>
          <w:p w14:paraId="133DA4E4" w14:textId="77777777" w:rsidR="00287C75" w:rsidRDefault="00287C75" w:rsidP="005E428F">
            <w:pPr>
              <w:pStyle w:val="NoSpacing"/>
              <w:jc w:val="center"/>
            </w:pPr>
          </w:p>
        </w:tc>
        <w:tc>
          <w:tcPr>
            <w:tcW w:w="3112" w:type="dxa"/>
          </w:tcPr>
          <w:p w14:paraId="3EEB7082" w14:textId="77C9D9EC" w:rsidR="00287C75" w:rsidRDefault="00EC0796" w:rsidP="00D378CC">
            <w:pPr>
              <w:pStyle w:val="NoSpacing"/>
              <w:jc w:val="center"/>
            </w:pPr>
            <w:r>
              <w:t>11am day before</w:t>
            </w:r>
          </w:p>
        </w:tc>
      </w:tr>
      <w:tr w:rsidR="00326081" w14:paraId="1E448E28" w14:textId="77777777" w:rsidTr="00326081">
        <w:trPr>
          <w:jc w:val="center"/>
        </w:trPr>
        <w:tc>
          <w:tcPr>
            <w:tcW w:w="2320" w:type="dxa"/>
          </w:tcPr>
          <w:p w14:paraId="07ACF4BE" w14:textId="15BA2C7F" w:rsidR="00287C75" w:rsidRDefault="00EC0796" w:rsidP="00D378CC">
            <w:pPr>
              <w:pStyle w:val="NoSpacing"/>
              <w:jc w:val="center"/>
            </w:pPr>
            <w:r>
              <w:t>Statement of issues</w:t>
            </w:r>
          </w:p>
        </w:tc>
        <w:tc>
          <w:tcPr>
            <w:tcW w:w="1474" w:type="dxa"/>
          </w:tcPr>
          <w:p w14:paraId="1135E243" w14:textId="76D8870D" w:rsidR="00287C75" w:rsidRDefault="00D378CC" w:rsidP="00D378CC">
            <w:pPr>
              <w:pStyle w:val="NoSpacing"/>
              <w:jc w:val="center"/>
            </w:pPr>
            <w:r>
              <w:t>A</w:t>
            </w:r>
          </w:p>
        </w:tc>
        <w:tc>
          <w:tcPr>
            <w:tcW w:w="2049" w:type="dxa"/>
          </w:tcPr>
          <w:p w14:paraId="5B35D185" w14:textId="77777777" w:rsidR="00287C75" w:rsidRDefault="00287C75" w:rsidP="005E428F">
            <w:pPr>
              <w:pStyle w:val="NoSpacing"/>
              <w:jc w:val="center"/>
            </w:pPr>
          </w:p>
        </w:tc>
        <w:tc>
          <w:tcPr>
            <w:tcW w:w="3112" w:type="dxa"/>
          </w:tcPr>
          <w:p w14:paraId="3AB3C976" w14:textId="020D0897" w:rsidR="00287C75" w:rsidRDefault="00EC0796" w:rsidP="00D378CC">
            <w:pPr>
              <w:pStyle w:val="NoSpacing"/>
              <w:jc w:val="center"/>
            </w:pPr>
            <w:r>
              <w:t>11am day before</w:t>
            </w:r>
          </w:p>
        </w:tc>
      </w:tr>
      <w:tr w:rsidR="00942D1B" w14:paraId="43701609" w14:textId="77777777" w:rsidTr="00326081">
        <w:trPr>
          <w:jc w:val="center"/>
        </w:trPr>
        <w:tc>
          <w:tcPr>
            <w:tcW w:w="2320" w:type="dxa"/>
          </w:tcPr>
          <w:p w14:paraId="2129E0FD" w14:textId="3E0A4052" w:rsidR="00942D1B" w:rsidRDefault="00942D1B" w:rsidP="00D378CC">
            <w:pPr>
              <w:pStyle w:val="NoSpacing"/>
              <w:jc w:val="center"/>
            </w:pPr>
            <w:r>
              <w:t>Schedule of assets</w:t>
            </w:r>
          </w:p>
        </w:tc>
        <w:tc>
          <w:tcPr>
            <w:tcW w:w="1474" w:type="dxa"/>
          </w:tcPr>
          <w:p w14:paraId="5EA920AD" w14:textId="2A525698" w:rsidR="00942D1B" w:rsidRDefault="00942D1B" w:rsidP="00D378CC">
            <w:pPr>
              <w:pStyle w:val="NoSpacing"/>
              <w:jc w:val="center"/>
            </w:pPr>
            <w:r>
              <w:t>A</w:t>
            </w:r>
          </w:p>
        </w:tc>
        <w:tc>
          <w:tcPr>
            <w:tcW w:w="2049" w:type="dxa"/>
          </w:tcPr>
          <w:p w14:paraId="195773BA" w14:textId="77777777" w:rsidR="00942D1B" w:rsidRDefault="00942D1B" w:rsidP="005E428F">
            <w:pPr>
              <w:pStyle w:val="NoSpacing"/>
              <w:jc w:val="center"/>
            </w:pPr>
          </w:p>
        </w:tc>
        <w:tc>
          <w:tcPr>
            <w:tcW w:w="3112" w:type="dxa"/>
          </w:tcPr>
          <w:p w14:paraId="4AFF691B" w14:textId="33D0BFAA" w:rsidR="00942D1B" w:rsidRDefault="00942D1B" w:rsidP="00D378CC">
            <w:pPr>
              <w:pStyle w:val="NoSpacing"/>
              <w:jc w:val="center"/>
            </w:pPr>
            <w:r>
              <w:t>11am day before</w:t>
            </w:r>
          </w:p>
        </w:tc>
      </w:tr>
      <w:tr w:rsidR="00326081" w14:paraId="334FA303" w14:textId="77777777" w:rsidTr="00326081">
        <w:trPr>
          <w:jc w:val="center"/>
        </w:trPr>
        <w:tc>
          <w:tcPr>
            <w:tcW w:w="2320" w:type="dxa"/>
          </w:tcPr>
          <w:p w14:paraId="470E69A6" w14:textId="490F32BD" w:rsidR="00287C75" w:rsidRDefault="00EC0796" w:rsidP="00D378CC">
            <w:pPr>
              <w:pStyle w:val="NoSpacing"/>
              <w:jc w:val="center"/>
            </w:pPr>
            <w:r>
              <w:t>Position statements</w:t>
            </w:r>
          </w:p>
        </w:tc>
        <w:tc>
          <w:tcPr>
            <w:tcW w:w="1474" w:type="dxa"/>
          </w:tcPr>
          <w:p w14:paraId="0EF7EC56" w14:textId="09FE1874" w:rsidR="00287C75" w:rsidRDefault="00D378CC" w:rsidP="00D378CC">
            <w:pPr>
              <w:pStyle w:val="NoSpacing"/>
              <w:jc w:val="center"/>
            </w:pPr>
            <w:r>
              <w:t>A</w:t>
            </w:r>
          </w:p>
        </w:tc>
        <w:tc>
          <w:tcPr>
            <w:tcW w:w="2049" w:type="dxa"/>
          </w:tcPr>
          <w:p w14:paraId="5832495A" w14:textId="77777777" w:rsidR="00287C75" w:rsidRDefault="00287C75" w:rsidP="005E428F">
            <w:pPr>
              <w:pStyle w:val="NoSpacing"/>
              <w:jc w:val="center"/>
            </w:pPr>
          </w:p>
        </w:tc>
        <w:tc>
          <w:tcPr>
            <w:tcW w:w="3112" w:type="dxa"/>
          </w:tcPr>
          <w:p w14:paraId="1C34DEAF" w14:textId="7B8BD19B" w:rsidR="00287C75" w:rsidRDefault="00EC0796" w:rsidP="00D378CC">
            <w:pPr>
              <w:pStyle w:val="NoSpacing"/>
              <w:jc w:val="center"/>
            </w:pPr>
            <w:r>
              <w:t>11am day before</w:t>
            </w:r>
          </w:p>
        </w:tc>
      </w:tr>
      <w:tr w:rsidR="00326081" w14:paraId="4AF04F1C" w14:textId="77777777" w:rsidTr="00326081">
        <w:trPr>
          <w:jc w:val="center"/>
        </w:trPr>
        <w:tc>
          <w:tcPr>
            <w:tcW w:w="2320" w:type="dxa"/>
          </w:tcPr>
          <w:p w14:paraId="112D6FDA" w14:textId="3DF52F9B" w:rsidR="00287C75" w:rsidRDefault="00EC0796" w:rsidP="00D378CC">
            <w:pPr>
              <w:pStyle w:val="NoSpacing"/>
              <w:jc w:val="center"/>
            </w:pPr>
            <w:r>
              <w:t>Chronology</w:t>
            </w:r>
          </w:p>
        </w:tc>
        <w:tc>
          <w:tcPr>
            <w:tcW w:w="1474" w:type="dxa"/>
          </w:tcPr>
          <w:p w14:paraId="1728B5CC" w14:textId="46F29AD8" w:rsidR="00287C75" w:rsidRDefault="00D378CC" w:rsidP="00D378CC">
            <w:pPr>
              <w:pStyle w:val="NoSpacing"/>
              <w:jc w:val="center"/>
            </w:pPr>
            <w:r>
              <w:t>A</w:t>
            </w:r>
          </w:p>
        </w:tc>
        <w:tc>
          <w:tcPr>
            <w:tcW w:w="2049" w:type="dxa"/>
          </w:tcPr>
          <w:p w14:paraId="0FD2FE0C" w14:textId="77777777" w:rsidR="00287C75" w:rsidRDefault="00287C75" w:rsidP="005E428F">
            <w:pPr>
              <w:pStyle w:val="NoSpacing"/>
              <w:jc w:val="center"/>
            </w:pPr>
          </w:p>
        </w:tc>
        <w:tc>
          <w:tcPr>
            <w:tcW w:w="3112" w:type="dxa"/>
          </w:tcPr>
          <w:p w14:paraId="2C68C8E9" w14:textId="08F0D5CC" w:rsidR="00287C75" w:rsidRDefault="00EC0796" w:rsidP="00D378CC">
            <w:pPr>
              <w:pStyle w:val="NoSpacing"/>
              <w:jc w:val="center"/>
            </w:pPr>
            <w:r>
              <w:t>11am day before</w:t>
            </w:r>
          </w:p>
        </w:tc>
      </w:tr>
      <w:tr w:rsidR="00326081" w14:paraId="2B5828F1" w14:textId="77777777" w:rsidTr="00326081">
        <w:trPr>
          <w:jc w:val="center"/>
        </w:trPr>
        <w:tc>
          <w:tcPr>
            <w:tcW w:w="2320" w:type="dxa"/>
          </w:tcPr>
          <w:p w14:paraId="0017D56B" w14:textId="1A4698F4" w:rsidR="00287C75" w:rsidRDefault="00EC0796" w:rsidP="00D378CC">
            <w:pPr>
              <w:pStyle w:val="NoSpacing"/>
              <w:jc w:val="center"/>
            </w:pPr>
            <w:r>
              <w:t>Skeleton arguments</w:t>
            </w:r>
          </w:p>
        </w:tc>
        <w:tc>
          <w:tcPr>
            <w:tcW w:w="1474" w:type="dxa"/>
          </w:tcPr>
          <w:p w14:paraId="2D632118" w14:textId="65597D82" w:rsidR="00287C75" w:rsidRDefault="00D378CC" w:rsidP="00D378CC">
            <w:pPr>
              <w:pStyle w:val="NoSpacing"/>
              <w:jc w:val="center"/>
            </w:pPr>
            <w:r>
              <w:t>A</w:t>
            </w:r>
          </w:p>
        </w:tc>
        <w:tc>
          <w:tcPr>
            <w:tcW w:w="2049" w:type="dxa"/>
          </w:tcPr>
          <w:p w14:paraId="4EF96A8A" w14:textId="77777777" w:rsidR="00287C75" w:rsidRDefault="00287C75" w:rsidP="005E428F">
            <w:pPr>
              <w:pStyle w:val="NoSpacing"/>
              <w:jc w:val="center"/>
            </w:pPr>
          </w:p>
        </w:tc>
        <w:tc>
          <w:tcPr>
            <w:tcW w:w="3112" w:type="dxa"/>
          </w:tcPr>
          <w:p w14:paraId="517908EC" w14:textId="7596EADE" w:rsidR="00287C75" w:rsidRDefault="00EC0796" w:rsidP="00D378CC">
            <w:pPr>
              <w:pStyle w:val="NoSpacing"/>
              <w:jc w:val="center"/>
            </w:pPr>
            <w:r>
              <w:t>11am day before</w:t>
            </w:r>
          </w:p>
        </w:tc>
      </w:tr>
      <w:tr w:rsidR="00326081" w14:paraId="3486A32F" w14:textId="77777777" w:rsidTr="00326081">
        <w:trPr>
          <w:jc w:val="center"/>
        </w:trPr>
        <w:tc>
          <w:tcPr>
            <w:tcW w:w="2320" w:type="dxa"/>
          </w:tcPr>
          <w:p w14:paraId="70276BE8" w14:textId="07D5995A" w:rsidR="00287C75" w:rsidRDefault="00D378CC" w:rsidP="00D378CC">
            <w:pPr>
              <w:pStyle w:val="NoSpacing"/>
              <w:jc w:val="center"/>
            </w:pPr>
            <w:r>
              <w:t>Reading list</w:t>
            </w:r>
          </w:p>
        </w:tc>
        <w:tc>
          <w:tcPr>
            <w:tcW w:w="1474" w:type="dxa"/>
          </w:tcPr>
          <w:p w14:paraId="336392A0" w14:textId="2F116923" w:rsidR="00287C75" w:rsidRDefault="00D378CC" w:rsidP="00D378CC">
            <w:pPr>
              <w:pStyle w:val="NoSpacing"/>
              <w:jc w:val="center"/>
            </w:pPr>
            <w:r>
              <w:t>A</w:t>
            </w:r>
          </w:p>
        </w:tc>
        <w:tc>
          <w:tcPr>
            <w:tcW w:w="2049" w:type="dxa"/>
          </w:tcPr>
          <w:p w14:paraId="0DFCDAF8" w14:textId="77777777" w:rsidR="00287C75" w:rsidRDefault="00287C75" w:rsidP="005E428F">
            <w:pPr>
              <w:pStyle w:val="NoSpacing"/>
              <w:jc w:val="center"/>
            </w:pPr>
          </w:p>
        </w:tc>
        <w:tc>
          <w:tcPr>
            <w:tcW w:w="3112" w:type="dxa"/>
          </w:tcPr>
          <w:p w14:paraId="38692393" w14:textId="585DC3C4" w:rsidR="00287C75" w:rsidRDefault="00D378CC" w:rsidP="00D378CC">
            <w:pPr>
              <w:pStyle w:val="NoSpacing"/>
              <w:jc w:val="center"/>
            </w:pPr>
            <w:r>
              <w:t>11am day before</w:t>
            </w:r>
          </w:p>
        </w:tc>
      </w:tr>
      <w:tr w:rsidR="00326081" w14:paraId="298FAC66" w14:textId="77777777" w:rsidTr="00326081">
        <w:trPr>
          <w:jc w:val="center"/>
        </w:trPr>
        <w:tc>
          <w:tcPr>
            <w:tcW w:w="2320" w:type="dxa"/>
          </w:tcPr>
          <w:p w14:paraId="785348B4" w14:textId="202C0F12" w:rsidR="00D378CC" w:rsidRDefault="00D378CC" w:rsidP="00D378CC">
            <w:pPr>
              <w:pStyle w:val="NoSpacing"/>
              <w:jc w:val="center"/>
            </w:pPr>
            <w:r>
              <w:t>Time estimate</w:t>
            </w:r>
          </w:p>
        </w:tc>
        <w:tc>
          <w:tcPr>
            <w:tcW w:w="1474" w:type="dxa"/>
          </w:tcPr>
          <w:p w14:paraId="2E19074B" w14:textId="41F775FD" w:rsidR="00D378CC" w:rsidRDefault="00D378CC" w:rsidP="00D378CC">
            <w:pPr>
              <w:pStyle w:val="NoSpacing"/>
              <w:jc w:val="center"/>
            </w:pPr>
            <w:r>
              <w:t>A</w:t>
            </w:r>
          </w:p>
        </w:tc>
        <w:tc>
          <w:tcPr>
            <w:tcW w:w="2049" w:type="dxa"/>
          </w:tcPr>
          <w:p w14:paraId="1139A34A" w14:textId="77777777" w:rsidR="00D378CC" w:rsidRDefault="00D378CC" w:rsidP="005E428F">
            <w:pPr>
              <w:pStyle w:val="NoSpacing"/>
              <w:jc w:val="center"/>
            </w:pPr>
          </w:p>
        </w:tc>
        <w:tc>
          <w:tcPr>
            <w:tcW w:w="3112" w:type="dxa"/>
          </w:tcPr>
          <w:p w14:paraId="6B39F598" w14:textId="35E6E3EF" w:rsidR="00D378CC" w:rsidRDefault="00D378CC" w:rsidP="00D378CC">
            <w:pPr>
              <w:pStyle w:val="NoSpacing"/>
              <w:jc w:val="center"/>
            </w:pPr>
            <w:r>
              <w:t>11am day before</w:t>
            </w:r>
          </w:p>
        </w:tc>
      </w:tr>
      <w:tr w:rsidR="00326081" w14:paraId="39727147" w14:textId="77777777" w:rsidTr="00326081">
        <w:trPr>
          <w:jc w:val="center"/>
        </w:trPr>
        <w:tc>
          <w:tcPr>
            <w:tcW w:w="2320" w:type="dxa"/>
          </w:tcPr>
          <w:p w14:paraId="07C09BFF" w14:textId="7E3241C5" w:rsidR="00D378CC" w:rsidRDefault="00326081" w:rsidP="00D378CC">
            <w:pPr>
              <w:pStyle w:val="NoSpacing"/>
              <w:jc w:val="center"/>
            </w:pPr>
            <w:r>
              <w:t>Applications</w:t>
            </w:r>
          </w:p>
        </w:tc>
        <w:tc>
          <w:tcPr>
            <w:tcW w:w="1474" w:type="dxa"/>
          </w:tcPr>
          <w:p w14:paraId="032D3692" w14:textId="691213B5" w:rsidR="00D378CC" w:rsidRDefault="00326081" w:rsidP="00D378CC">
            <w:pPr>
              <w:pStyle w:val="NoSpacing"/>
              <w:jc w:val="center"/>
            </w:pPr>
            <w:r>
              <w:t>B</w:t>
            </w:r>
          </w:p>
        </w:tc>
        <w:tc>
          <w:tcPr>
            <w:tcW w:w="2049" w:type="dxa"/>
          </w:tcPr>
          <w:p w14:paraId="7893239A" w14:textId="77777777" w:rsidR="00D378CC" w:rsidRDefault="00D378CC" w:rsidP="005E428F">
            <w:pPr>
              <w:pStyle w:val="NoSpacing"/>
              <w:jc w:val="center"/>
            </w:pPr>
          </w:p>
        </w:tc>
        <w:tc>
          <w:tcPr>
            <w:tcW w:w="3112" w:type="dxa"/>
          </w:tcPr>
          <w:p w14:paraId="3FC9BD5D" w14:textId="758AEB61" w:rsidR="00D378CC" w:rsidRDefault="00326081" w:rsidP="00D378CC">
            <w:pPr>
              <w:pStyle w:val="NoSpacing"/>
              <w:jc w:val="center"/>
            </w:pPr>
            <w:r>
              <w:t>2 days before/as ordered</w:t>
            </w:r>
          </w:p>
        </w:tc>
      </w:tr>
      <w:tr w:rsidR="00942D1B" w14:paraId="5CF52017" w14:textId="77777777" w:rsidTr="00326081">
        <w:trPr>
          <w:jc w:val="center"/>
        </w:trPr>
        <w:tc>
          <w:tcPr>
            <w:tcW w:w="2320" w:type="dxa"/>
          </w:tcPr>
          <w:p w14:paraId="6F7822DF" w14:textId="19922E8D" w:rsidR="00942D1B" w:rsidRDefault="00942D1B" w:rsidP="00D378CC">
            <w:pPr>
              <w:pStyle w:val="NoSpacing"/>
              <w:jc w:val="center"/>
            </w:pPr>
            <w:r>
              <w:t>Orders</w:t>
            </w:r>
          </w:p>
        </w:tc>
        <w:tc>
          <w:tcPr>
            <w:tcW w:w="1474" w:type="dxa"/>
          </w:tcPr>
          <w:p w14:paraId="6EDEA72A" w14:textId="18108C46" w:rsidR="00942D1B" w:rsidRDefault="00942D1B" w:rsidP="00D378CC">
            <w:pPr>
              <w:pStyle w:val="NoSpacing"/>
              <w:jc w:val="center"/>
            </w:pPr>
            <w:r>
              <w:t>B</w:t>
            </w:r>
          </w:p>
        </w:tc>
        <w:tc>
          <w:tcPr>
            <w:tcW w:w="2049" w:type="dxa"/>
          </w:tcPr>
          <w:p w14:paraId="6EBFF4A9" w14:textId="77777777" w:rsidR="00942D1B" w:rsidRDefault="00942D1B" w:rsidP="005E428F">
            <w:pPr>
              <w:pStyle w:val="NoSpacing"/>
              <w:jc w:val="center"/>
            </w:pPr>
          </w:p>
        </w:tc>
        <w:tc>
          <w:tcPr>
            <w:tcW w:w="3112" w:type="dxa"/>
          </w:tcPr>
          <w:p w14:paraId="5519E1B8" w14:textId="3A7228F6" w:rsidR="00942D1B" w:rsidRDefault="00942D1B" w:rsidP="00D378CC">
            <w:pPr>
              <w:pStyle w:val="NoSpacing"/>
              <w:jc w:val="center"/>
            </w:pPr>
            <w:r w:rsidRPr="001A1E2E">
              <w:t>2 days before/as ordered</w:t>
            </w:r>
          </w:p>
        </w:tc>
      </w:tr>
      <w:tr w:rsidR="00942D1B" w14:paraId="4EB44CA7" w14:textId="77777777" w:rsidTr="00326081">
        <w:trPr>
          <w:jc w:val="center"/>
        </w:trPr>
        <w:tc>
          <w:tcPr>
            <w:tcW w:w="2320" w:type="dxa"/>
          </w:tcPr>
          <w:p w14:paraId="121B8592" w14:textId="7648E68F" w:rsidR="00942D1B" w:rsidRDefault="00942D1B" w:rsidP="00D378CC">
            <w:pPr>
              <w:pStyle w:val="NoSpacing"/>
              <w:jc w:val="center"/>
            </w:pPr>
            <w:r>
              <w:t>Statements</w:t>
            </w:r>
          </w:p>
        </w:tc>
        <w:tc>
          <w:tcPr>
            <w:tcW w:w="1474" w:type="dxa"/>
          </w:tcPr>
          <w:p w14:paraId="44DFE78A" w14:textId="65C200F2" w:rsidR="00942D1B" w:rsidRDefault="00942D1B" w:rsidP="00D378CC">
            <w:pPr>
              <w:pStyle w:val="NoSpacing"/>
              <w:jc w:val="center"/>
            </w:pPr>
            <w:r>
              <w:t>C</w:t>
            </w:r>
          </w:p>
        </w:tc>
        <w:tc>
          <w:tcPr>
            <w:tcW w:w="2049" w:type="dxa"/>
          </w:tcPr>
          <w:p w14:paraId="5CC26722" w14:textId="77777777" w:rsidR="00942D1B" w:rsidRDefault="00942D1B" w:rsidP="005E428F">
            <w:pPr>
              <w:pStyle w:val="NoSpacing"/>
              <w:jc w:val="center"/>
            </w:pPr>
          </w:p>
        </w:tc>
        <w:tc>
          <w:tcPr>
            <w:tcW w:w="3112" w:type="dxa"/>
          </w:tcPr>
          <w:p w14:paraId="28FB6090" w14:textId="489A2FB2" w:rsidR="00942D1B" w:rsidRDefault="00942D1B" w:rsidP="00D378CC">
            <w:pPr>
              <w:pStyle w:val="NoSpacing"/>
              <w:jc w:val="center"/>
            </w:pPr>
            <w:r w:rsidRPr="001A1E2E">
              <w:t>2 days before/as ordered</w:t>
            </w:r>
          </w:p>
        </w:tc>
      </w:tr>
      <w:tr w:rsidR="00942D1B" w14:paraId="1682AF8A" w14:textId="77777777" w:rsidTr="00326081">
        <w:trPr>
          <w:jc w:val="center"/>
        </w:trPr>
        <w:tc>
          <w:tcPr>
            <w:tcW w:w="2320" w:type="dxa"/>
          </w:tcPr>
          <w:p w14:paraId="6EC1EEC3" w14:textId="5EAB2DA3" w:rsidR="00942D1B" w:rsidRDefault="00942D1B" w:rsidP="00D378CC">
            <w:pPr>
              <w:pStyle w:val="NoSpacing"/>
              <w:jc w:val="center"/>
            </w:pPr>
            <w:r>
              <w:t>Care Plans</w:t>
            </w:r>
          </w:p>
        </w:tc>
        <w:tc>
          <w:tcPr>
            <w:tcW w:w="1474" w:type="dxa"/>
          </w:tcPr>
          <w:p w14:paraId="20F1A36E" w14:textId="6802AB5E" w:rsidR="00942D1B" w:rsidRDefault="00942D1B" w:rsidP="00D378CC">
            <w:pPr>
              <w:pStyle w:val="NoSpacing"/>
              <w:jc w:val="center"/>
            </w:pPr>
            <w:r>
              <w:t>D</w:t>
            </w:r>
          </w:p>
        </w:tc>
        <w:tc>
          <w:tcPr>
            <w:tcW w:w="2049" w:type="dxa"/>
          </w:tcPr>
          <w:p w14:paraId="71177EB6" w14:textId="77777777" w:rsidR="00942D1B" w:rsidRDefault="00942D1B" w:rsidP="005E428F">
            <w:pPr>
              <w:pStyle w:val="NoSpacing"/>
              <w:jc w:val="center"/>
            </w:pPr>
          </w:p>
        </w:tc>
        <w:tc>
          <w:tcPr>
            <w:tcW w:w="3112" w:type="dxa"/>
          </w:tcPr>
          <w:p w14:paraId="2D64FE76" w14:textId="5E24A0B2" w:rsidR="00942D1B" w:rsidRDefault="00942D1B" w:rsidP="00D378CC">
            <w:pPr>
              <w:pStyle w:val="NoSpacing"/>
              <w:jc w:val="center"/>
            </w:pPr>
            <w:r w:rsidRPr="001A1E2E">
              <w:t>2 days before/as ordered</w:t>
            </w:r>
          </w:p>
        </w:tc>
      </w:tr>
      <w:tr w:rsidR="00942D1B" w14:paraId="5B94147F" w14:textId="77777777" w:rsidTr="00326081">
        <w:trPr>
          <w:jc w:val="center"/>
        </w:trPr>
        <w:tc>
          <w:tcPr>
            <w:tcW w:w="2320" w:type="dxa"/>
          </w:tcPr>
          <w:p w14:paraId="3E787DD2" w14:textId="65CFD03A" w:rsidR="00942D1B" w:rsidRDefault="005E428F" w:rsidP="00D378CC">
            <w:pPr>
              <w:pStyle w:val="NoSpacing"/>
              <w:jc w:val="center"/>
            </w:pPr>
            <w:r>
              <w:t>Experts’ reports</w:t>
            </w:r>
          </w:p>
        </w:tc>
        <w:tc>
          <w:tcPr>
            <w:tcW w:w="1474" w:type="dxa"/>
          </w:tcPr>
          <w:p w14:paraId="2F7FA6E6" w14:textId="70743A74" w:rsidR="00942D1B" w:rsidRDefault="005E428F" w:rsidP="00D378CC">
            <w:pPr>
              <w:pStyle w:val="NoSpacing"/>
              <w:jc w:val="center"/>
            </w:pPr>
            <w:r>
              <w:t>E</w:t>
            </w:r>
          </w:p>
        </w:tc>
        <w:tc>
          <w:tcPr>
            <w:tcW w:w="2049" w:type="dxa"/>
          </w:tcPr>
          <w:p w14:paraId="4F329594" w14:textId="77777777" w:rsidR="00942D1B" w:rsidRDefault="00942D1B" w:rsidP="005E428F">
            <w:pPr>
              <w:pStyle w:val="NoSpacing"/>
              <w:jc w:val="center"/>
            </w:pPr>
          </w:p>
        </w:tc>
        <w:tc>
          <w:tcPr>
            <w:tcW w:w="3112" w:type="dxa"/>
          </w:tcPr>
          <w:p w14:paraId="62A1284E" w14:textId="3E35AF1F" w:rsidR="00942D1B" w:rsidRDefault="00942D1B" w:rsidP="00D378CC">
            <w:pPr>
              <w:pStyle w:val="NoSpacing"/>
              <w:jc w:val="center"/>
            </w:pPr>
            <w:r w:rsidRPr="001A1E2E">
              <w:t>2 days before/as ordered</w:t>
            </w:r>
          </w:p>
        </w:tc>
      </w:tr>
      <w:tr w:rsidR="00942D1B" w14:paraId="3F9AB28D" w14:textId="77777777" w:rsidTr="00326081">
        <w:trPr>
          <w:jc w:val="center"/>
        </w:trPr>
        <w:tc>
          <w:tcPr>
            <w:tcW w:w="2320" w:type="dxa"/>
          </w:tcPr>
          <w:p w14:paraId="1D3DC2EE" w14:textId="35F357DF" w:rsidR="00942D1B" w:rsidRDefault="005E428F" w:rsidP="00D378CC">
            <w:pPr>
              <w:pStyle w:val="NoSpacing"/>
              <w:jc w:val="center"/>
            </w:pPr>
            <w:r>
              <w:t>Correspondence</w:t>
            </w:r>
          </w:p>
        </w:tc>
        <w:tc>
          <w:tcPr>
            <w:tcW w:w="1474" w:type="dxa"/>
          </w:tcPr>
          <w:p w14:paraId="656BD7A3" w14:textId="13D4D166" w:rsidR="00942D1B" w:rsidRDefault="005E428F" w:rsidP="00D378CC">
            <w:pPr>
              <w:pStyle w:val="NoSpacing"/>
              <w:jc w:val="center"/>
            </w:pPr>
            <w:r>
              <w:t>F+</w:t>
            </w:r>
          </w:p>
        </w:tc>
        <w:tc>
          <w:tcPr>
            <w:tcW w:w="2049" w:type="dxa"/>
          </w:tcPr>
          <w:p w14:paraId="753C6460" w14:textId="6671ED0D" w:rsidR="00942D1B" w:rsidRDefault="005E428F" w:rsidP="005E428F">
            <w:pPr>
              <w:pStyle w:val="NoSpacing"/>
              <w:jc w:val="center"/>
            </w:pPr>
            <w:r>
              <w:t>Yes</w:t>
            </w:r>
          </w:p>
        </w:tc>
        <w:tc>
          <w:tcPr>
            <w:tcW w:w="3112" w:type="dxa"/>
          </w:tcPr>
          <w:p w14:paraId="28E3A0C0" w14:textId="02F17550" w:rsidR="00942D1B" w:rsidRDefault="00942D1B" w:rsidP="00D378CC">
            <w:pPr>
              <w:pStyle w:val="NoSpacing"/>
              <w:jc w:val="center"/>
            </w:pPr>
            <w:r w:rsidRPr="00E822FF">
              <w:t>2 days before/as ordered</w:t>
            </w:r>
          </w:p>
        </w:tc>
      </w:tr>
      <w:tr w:rsidR="00C418DA" w14:paraId="0F74EEF1" w14:textId="77777777" w:rsidTr="00326081">
        <w:trPr>
          <w:jc w:val="center"/>
        </w:trPr>
        <w:tc>
          <w:tcPr>
            <w:tcW w:w="2320" w:type="dxa"/>
          </w:tcPr>
          <w:p w14:paraId="5EFB055D" w14:textId="216FAC80" w:rsidR="00C418DA" w:rsidRDefault="00C418DA" w:rsidP="00D378CC">
            <w:pPr>
              <w:pStyle w:val="NoSpacing"/>
              <w:jc w:val="center"/>
            </w:pPr>
            <w:r>
              <w:t>Medical records</w:t>
            </w:r>
          </w:p>
        </w:tc>
        <w:tc>
          <w:tcPr>
            <w:tcW w:w="1474" w:type="dxa"/>
          </w:tcPr>
          <w:p w14:paraId="5F09A5C9" w14:textId="60FF73CE" w:rsidR="00C418DA" w:rsidRDefault="00C418DA" w:rsidP="00D378CC">
            <w:pPr>
              <w:pStyle w:val="NoSpacing"/>
              <w:jc w:val="center"/>
            </w:pPr>
            <w:r w:rsidRPr="00674AB7">
              <w:t>F+</w:t>
            </w:r>
          </w:p>
        </w:tc>
        <w:tc>
          <w:tcPr>
            <w:tcW w:w="2049" w:type="dxa"/>
          </w:tcPr>
          <w:p w14:paraId="102A0A88" w14:textId="4F81D20F" w:rsidR="00C418DA" w:rsidRDefault="00C418DA" w:rsidP="005E428F">
            <w:pPr>
              <w:pStyle w:val="NoSpacing"/>
              <w:jc w:val="center"/>
            </w:pPr>
            <w:r w:rsidRPr="00931051">
              <w:t>Yes</w:t>
            </w:r>
          </w:p>
        </w:tc>
        <w:tc>
          <w:tcPr>
            <w:tcW w:w="3112" w:type="dxa"/>
          </w:tcPr>
          <w:p w14:paraId="37E2B635" w14:textId="042E31FE" w:rsidR="00C418DA" w:rsidRDefault="00C418DA" w:rsidP="00D378CC">
            <w:pPr>
              <w:pStyle w:val="NoSpacing"/>
              <w:jc w:val="center"/>
            </w:pPr>
            <w:r w:rsidRPr="00E822FF">
              <w:t>2 days before/as ordered</w:t>
            </w:r>
          </w:p>
        </w:tc>
      </w:tr>
      <w:tr w:rsidR="00C418DA" w14:paraId="39B9A159" w14:textId="77777777" w:rsidTr="00326081">
        <w:trPr>
          <w:jc w:val="center"/>
        </w:trPr>
        <w:tc>
          <w:tcPr>
            <w:tcW w:w="2320" w:type="dxa"/>
          </w:tcPr>
          <w:p w14:paraId="7EAC8ABF" w14:textId="543963D2" w:rsidR="00C418DA" w:rsidRDefault="00C418DA" w:rsidP="00D378CC">
            <w:pPr>
              <w:pStyle w:val="NoSpacing"/>
              <w:jc w:val="center"/>
            </w:pPr>
            <w:r>
              <w:t>Bank statements etc</w:t>
            </w:r>
          </w:p>
        </w:tc>
        <w:tc>
          <w:tcPr>
            <w:tcW w:w="1474" w:type="dxa"/>
          </w:tcPr>
          <w:p w14:paraId="3C53B441" w14:textId="430AA058" w:rsidR="00C418DA" w:rsidRDefault="00C418DA" w:rsidP="00D378CC">
            <w:pPr>
              <w:pStyle w:val="NoSpacing"/>
              <w:jc w:val="center"/>
            </w:pPr>
            <w:r w:rsidRPr="00674AB7">
              <w:t>F+</w:t>
            </w:r>
          </w:p>
        </w:tc>
        <w:tc>
          <w:tcPr>
            <w:tcW w:w="2049" w:type="dxa"/>
          </w:tcPr>
          <w:p w14:paraId="7236E69F" w14:textId="426456DA" w:rsidR="00C418DA" w:rsidRDefault="00C418DA" w:rsidP="005E428F">
            <w:pPr>
              <w:pStyle w:val="NoSpacing"/>
              <w:jc w:val="center"/>
            </w:pPr>
            <w:r w:rsidRPr="00931051">
              <w:t>Yes</w:t>
            </w:r>
          </w:p>
        </w:tc>
        <w:tc>
          <w:tcPr>
            <w:tcW w:w="3112" w:type="dxa"/>
          </w:tcPr>
          <w:p w14:paraId="3F3A46C4" w14:textId="351E022C" w:rsidR="00C418DA" w:rsidRPr="00E822FF" w:rsidRDefault="00C418DA" w:rsidP="00D378CC">
            <w:pPr>
              <w:pStyle w:val="NoSpacing"/>
              <w:jc w:val="center"/>
            </w:pPr>
            <w:r w:rsidRPr="00432D40">
              <w:t>2 days before/as ordered</w:t>
            </w:r>
          </w:p>
        </w:tc>
      </w:tr>
      <w:tr w:rsidR="00C418DA" w14:paraId="5EB3CB61" w14:textId="77777777" w:rsidTr="00326081">
        <w:trPr>
          <w:jc w:val="center"/>
        </w:trPr>
        <w:tc>
          <w:tcPr>
            <w:tcW w:w="2320" w:type="dxa"/>
          </w:tcPr>
          <w:p w14:paraId="19438D45" w14:textId="38B74768" w:rsidR="00C418DA" w:rsidRDefault="00C418DA" w:rsidP="00D378CC">
            <w:pPr>
              <w:pStyle w:val="NoSpacing"/>
              <w:jc w:val="center"/>
            </w:pPr>
            <w:r>
              <w:t>Contact notes</w:t>
            </w:r>
          </w:p>
        </w:tc>
        <w:tc>
          <w:tcPr>
            <w:tcW w:w="1474" w:type="dxa"/>
          </w:tcPr>
          <w:p w14:paraId="4F8F3FDF" w14:textId="09B62923" w:rsidR="00C418DA" w:rsidRDefault="00C418DA" w:rsidP="00D378CC">
            <w:pPr>
              <w:pStyle w:val="NoSpacing"/>
              <w:jc w:val="center"/>
            </w:pPr>
            <w:r w:rsidRPr="00674AB7">
              <w:t>F+</w:t>
            </w:r>
          </w:p>
        </w:tc>
        <w:tc>
          <w:tcPr>
            <w:tcW w:w="2049" w:type="dxa"/>
          </w:tcPr>
          <w:p w14:paraId="45922381" w14:textId="1E64B506" w:rsidR="00C418DA" w:rsidRDefault="00C418DA" w:rsidP="005E428F">
            <w:pPr>
              <w:pStyle w:val="NoSpacing"/>
              <w:jc w:val="center"/>
            </w:pPr>
            <w:r w:rsidRPr="00931051">
              <w:t>Yes</w:t>
            </w:r>
          </w:p>
        </w:tc>
        <w:tc>
          <w:tcPr>
            <w:tcW w:w="3112" w:type="dxa"/>
          </w:tcPr>
          <w:p w14:paraId="1268EF5F" w14:textId="5B462A40" w:rsidR="00C418DA" w:rsidRPr="00E822FF" w:rsidRDefault="00C418DA" w:rsidP="00D378CC">
            <w:pPr>
              <w:pStyle w:val="NoSpacing"/>
              <w:jc w:val="center"/>
            </w:pPr>
            <w:r w:rsidRPr="00432D40">
              <w:t>2 days before/as ordered</w:t>
            </w:r>
          </w:p>
        </w:tc>
      </w:tr>
      <w:tr w:rsidR="00C418DA" w14:paraId="2B3C762F" w14:textId="77777777" w:rsidTr="00326081">
        <w:trPr>
          <w:jc w:val="center"/>
        </w:trPr>
        <w:tc>
          <w:tcPr>
            <w:tcW w:w="2320" w:type="dxa"/>
          </w:tcPr>
          <w:p w14:paraId="1A12EB9E" w14:textId="6A3B2BA2" w:rsidR="00C418DA" w:rsidRDefault="00C418DA" w:rsidP="00D378CC">
            <w:pPr>
              <w:pStyle w:val="NoSpacing"/>
              <w:jc w:val="center"/>
            </w:pPr>
            <w:r>
              <w:t>Foster carer logs</w:t>
            </w:r>
          </w:p>
        </w:tc>
        <w:tc>
          <w:tcPr>
            <w:tcW w:w="1474" w:type="dxa"/>
          </w:tcPr>
          <w:p w14:paraId="62E5D5C0" w14:textId="2C54DD09" w:rsidR="00C418DA" w:rsidRDefault="00C418DA" w:rsidP="00D378CC">
            <w:pPr>
              <w:pStyle w:val="NoSpacing"/>
              <w:jc w:val="center"/>
            </w:pPr>
            <w:r w:rsidRPr="00674AB7">
              <w:t>F+</w:t>
            </w:r>
          </w:p>
        </w:tc>
        <w:tc>
          <w:tcPr>
            <w:tcW w:w="2049" w:type="dxa"/>
          </w:tcPr>
          <w:p w14:paraId="26462049" w14:textId="18817A21" w:rsidR="00C418DA" w:rsidRDefault="00C418DA" w:rsidP="005E428F">
            <w:pPr>
              <w:pStyle w:val="NoSpacing"/>
              <w:jc w:val="center"/>
            </w:pPr>
            <w:r w:rsidRPr="00931051">
              <w:t>Yes</w:t>
            </w:r>
          </w:p>
        </w:tc>
        <w:tc>
          <w:tcPr>
            <w:tcW w:w="3112" w:type="dxa"/>
          </w:tcPr>
          <w:p w14:paraId="6B515BD2" w14:textId="2DCFB20B" w:rsidR="00C418DA" w:rsidRPr="00E822FF" w:rsidRDefault="00C418DA" w:rsidP="00D378CC">
            <w:pPr>
              <w:pStyle w:val="NoSpacing"/>
              <w:jc w:val="center"/>
            </w:pPr>
            <w:r w:rsidRPr="00432D40">
              <w:t>2 days before/as ordered</w:t>
            </w:r>
          </w:p>
        </w:tc>
      </w:tr>
      <w:tr w:rsidR="00C418DA" w14:paraId="5C5378E4" w14:textId="77777777" w:rsidTr="00326081">
        <w:trPr>
          <w:jc w:val="center"/>
        </w:trPr>
        <w:tc>
          <w:tcPr>
            <w:tcW w:w="2320" w:type="dxa"/>
          </w:tcPr>
          <w:p w14:paraId="557AECC8" w14:textId="608FF03A" w:rsidR="00C418DA" w:rsidRDefault="00C418DA" w:rsidP="00D378CC">
            <w:pPr>
              <w:pStyle w:val="NoSpacing"/>
              <w:jc w:val="center"/>
            </w:pPr>
            <w:r>
              <w:t>Social services files</w:t>
            </w:r>
          </w:p>
        </w:tc>
        <w:tc>
          <w:tcPr>
            <w:tcW w:w="1474" w:type="dxa"/>
          </w:tcPr>
          <w:p w14:paraId="67DA9F0D" w14:textId="4EB07A62" w:rsidR="00C418DA" w:rsidRDefault="00C418DA" w:rsidP="00D378CC">
            <w:pPr>
              <w:pStyle w:val="NoSpacing"/>
              <w:jc w:val="center"/>
            </w:pPr>
            <w:r w:rsidRPr="00674AB7">
              <w:t>F+</w:t>
            </w:r>
          </w:p>
        </w:tc>
        <w:tc>
          <w:tcPr>
            <w:tcW w:w="2049" w:type="dxa"/>
          </w:tcPr>
          <w:p w14:paraId="4914B33A" w14:textId="3A36FA63" w:rsidR="00C418DA" w:rsidRDefault="00C418DA" w:rsidP="005E428F">
            <w:pPr>
              <w:pStyle w:val="NoSpacing"/>
              <w:jc w:val="center"/>
            </w:pPr>
            <w:r w:rsidRPr="00931051">
              <w:t>Yes</w:t>
            </w:r>
          </w:p>
        </w:tc>
        <w:tc>
          <w:tcPr>
            <w:tcW w:w="3112" w:type="dxa"/>
          </w:tcPr>
          <w:p w14:paraId="3A2C9B6D" w14:textId="13EE0CD7" w:rsidR="00C418DA" w:rsidRPr="00E822FF" w:rsidRDefault="00C418DA" w:rsidP="00D378CC">
            <w:pPr>
              <w:pStyle w:val="NoSpacing"/>
              <w:jc w:val="center"/>
            </w:pPr>
            <w:r w:rsidRPr="00432D40">
              <w:t>2 days before/as ordered</w:t>
            </w:r>
          </w:p>
        </w:tc>
      </w:tr>
      <w:tr w:rsidR="00C418DA" w14:paraId="583A96BE" w14:textId="77777777" w:rsidTr="00326081">
        <w:trPr>
          <w:jc w:val="center"/>
        </w:trPr>
        <w:tc>
          <w:tcPr>
            <w:tcW w:w="2320" w:type="dxa"/>
          </w:tcPr>
          <w:p w14:paraId="2C2F0151" w14:textId="0CFFC195" w:rsidR="00C418DA" w:rsidRDefault="00C418DA" w:rsidP="00D378CC">
            <w:pPr>
              <w:pStyle w:val="NoSpacing"/>
              <w:jc w:val="center"/>
            </w:pPr>
            <w:r>
              <w:t>Police disclosure</w:t>
            </w:r>
          </w:p>
        </w:tc>
        <w:tc>
          <w:tcPr>
            <w:tcW w:w="1474" w:type="dxa"/>
          </w:tcPr>
          <w:p w14:paraId="22523F98" w14:textId="6353F2D1" w:rsidR="00C418DA" w:rsidRDefault="00C418DA" w:rsidP="00D378CC">
            <w:pPr>
              <w:pStyle w:val="NoSpacing"/>
              <w:jc w:val="center"/>
            </w:pPr>
            <w:r w:rsidRPr="00674AB7">
              <w:t>F+</w:t>
            </w:r>
          </w:p>
        </w:tc>
        <w:tc>
          <w:tcPr>
            <w:tcW w:w="2049" w:type="dxa"/>
          </w:tcPr>
          <w:p w14:paraId="485E626A" w14:textId="6A307CDB" w:rsidR="00C418DA" w:rsidRDefault="00C418DA" w:rsidP="005E428F">
            <w:pPr>
              <w:pStyle w:val="NoSpacing"/>
              <w:jc w:val="center"/>
            </w:pPr>
            <w:r w:rsidRPr="00931051">
              <w:t>Yes</w:t>
            </w:r>
          </w:p>
        </w:tc>
        <w:tc>
          <w:tcPr>
            <w:tcW w:w="3112" w:type="dxa"/>
          </w:tcPr>
          <w:p w14:paraId="67F25F30" w14:textId="7B408C07" w:rsidR="00C418DA" w:rsidRDefault="00C418DA" w:rsidP="00D378CC">
            <w:pPr>
              <w:pStyle w:val="NoSpacing"/>
              <w:jc w:val="center"/>
            </w:pPr>
            <w:r w:rsidRPr="00E822FF">
              <w:t>2 days before/as ordered</w:t>
            </w:r>
          </w:p>
        </w:tc>
      </w:tr>
    </w:tbl>
    <w:p w14:paraId="5BDDD0A1" w14:textId="77777777" w:rsidR="00EF53BE" w:rsidRDefault="00EF53BE" w:rsidP="00EF53BE">
      <w:pPr>
        <w:pStyle w:val="NoSpacing"/>
        <w:jc w:val="both"/>
      </w:pPr>
    </w:p>
    <w:sectPr w:rsidR="00EF53BE" w:rsidSect="001607EA">
      <w:footerReference w:type="even" r:id="rId12"/>
      <w:footerReference w:type="default" r:id="rId13"/>
      <w:pgSz w:w="11900" w:h="1682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ECA8E" w14:textId="77777777" w:rsidR="00966043" w:rsidRDefault="00966043" w:rsidP="002A39B1">
      <w:r>
        <w:separator/>
      </w:r>
    </w:p>
  </w:endnote>
  <w:endnote w:type="continuationSeparator" w:id="0">
    <w:p w14:paraId="6C8224B6" w14:textId="77777777" w:rsidR="00966043" w:rsidRDefault="00966043" w:rsidP="002A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627CB" w14:textId="77777777" w:rsidR="00966043" w:rsidRDefault="00966043" w:rsidP="00E81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6A64A" w14:textId="77777777" w:rsidR="00966043" w:rsidRDefault="009660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1F2B" w14:textId="77777777" w:rsidR="00966043" w:rsidRDefault="00966043" w:rsidP="00E81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7B1">
      <w:rPr>
        <w:rStyle w:val="PageNumber"/>
        <w:noProof/>
      </w:rPr>
      <w:t>1</w:t>
    </w:r>
    <w:r>
      <w:rPr>
        <w:rStyle w:val="PageNumber"/>
      </w:rPr>
      <w:fldChar w:fldCharType="end"/>
    </w:r>
  </w:p>
  <w:p w14:paraId="0D26CE97" w14:textId="77777777" w:rsidR="00966043" w:rsidRDefault="009660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0CB5E" w14:textId="77777777" w:rsidR="00966043" w:rsidRDefault="00966043" w:rsidP="002A39B1">
      <w:r>
        <w:separator/>
      </w:r>
    </w:p>
  </w:footnote>
  <w:footnote w:type="continuationSeparator" w:id="0">
    <w:p w14:paraId="32B03727" w14:textId="77777777" w:rsidR="00966043" w:rsidRDefault="00966043" w:rsidP="002A39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69C"/>
    <w:multiLevelType w:val="hybridMultilevel"/>
    <w:tmpl w:val="C4B0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51212"/>
    <w:multiLevelType w:val="hybridMultilevel"/>
    <w:tmpl w:val="BEA6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63904"/>
    <w:multiLevelType w:val="hybridMultilevel"/>
    <w:tmpl w:val="0800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464D1"/>
    <w:multiLevelType w:val="hybridMultilevel"/>
    <w:tmpl w:val="E16C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D79C4"/>
    <w:multiLevelType w:val="hybridMultilevel"/>
    <w:tmpl w:val="6D4C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93620"/>
    <w:multiLevelType w:val="hybridMultilevel"/>
    <w:tmpl w:val="3938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10500"/>
    <w:multiLevelType w:val="hybridMultilevel"/>
    <w:tmpl w:val="0112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BC4572"/>
    <w:multiLevelType w:val="hybridMultilevel"/>
    <w:tmpl w:val="705C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42587"/>
    <w:multiLevelType w:val="hybridMultilevel"/>
    <w:tmpl w:val="C8D2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844DB"/>
    <w:multiLevelType w:val="hybridMultilevel"/>
    <w:tmpl w:val="B9AE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27CF4"/>
    <w:multiLevelType w:val="hybridMultilevel"/>
    <w:tmpl w:val="E756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C094B"/>
    <w:multiLevelType w:val="hybridMultilevel"/>
    <w:tmpl w:val="79FC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1"/>
  </w:num>
  <w:num w:numId="5">
    <w:abstractNumId w:val="9"/>
  </w:num>
  <w:num w:numId="6">
    <w:abstractNumId w:val="5"/>
  </w:num>
  <w:num w:numId="7">
    <w:abstractNumId w:val="10"/>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05"/>
    <w:rsid w:val="0007692A"/>
    <w:rsid w:val="000832F9"/>
    <w:rsid w:val="001467A6"/>
    <w:rsid w:val="001607EA"/>
    <w:rsid w:val="001D678F"/>
    <w:rsid w:val="0028580C"/>
    <w:rsid w:val="00287C75"/>
    <w:rsid w:val="002A39B1"/>
    <w:rsid w:val="002E06FE"/>
    <w:rsid w:val="00326081"/>
    <w:rsid w:val="00404551"/>
    <w:rsid w:val="004177B1"/>
    <w:rsid w:val="004460E0"/>
    <w:rsid w:val="00447EBA"/>
    <w:rsid w:val="00451450"/>
    <w:rsid w:val="004D7AB0"/>
    <w:rsid w:val="004E2A48"/>
    <w:rsid w:val="005B20B7"/>
    <w:rsid w:val="005C5E3D"/>
    <w:rsid w:val="005E07A3"/>
    <w:rsid w:val="005E428F"/>
    <w:rsid w:val="00634F00"/>
    <w:rsid w:val="006A65E4"/>
    <w:rsid w:val="006B271E"/>
    <w:rsid w:val="006E5599"/>
    <w:rsid w:val="00721A0E"/>
    <w:rsid w:val="00787B65"/>
    <w:rsid w:val="0079345B"/>
    <w:rsid w:val="007A16B3"/>
    <w:rsid w:val="007A4124"/>
    <w:rsid w:val="007B1C79"/>
    <w:rsid w:val="007D57F6"/>
    <w:rsid w:val="00801500"/>
    <w:rsid w:val="00806762"/>
    <w:rsid w:val="00864739"/>
    <w:rsid w:val="00873644"/>
    <w:rsid w:val="00876933"/>
    <w:rsid w:val="008970AD"/>
    <w:rsid w:val="008F19FA"/>
    <w:rsid w:val="00906D6D"/>
    <w:rsid w:val="00917960"/>
    <w:rsid w:val="00942D1B"/>
    <w:rsid w:val="00966043"/>
    <w:rsid w:val="0098096B"/>
    <w:rsid w:val="009F5F34"/>
    <w:rsid w:val="00A046A2"/>
    <w:rsid w:val="00A300D3"/>
    <w:rsid w:val="00A46D79"/>
    <w:rsid w:val="00A47BF9"/>
    <w:rsid w:val="00AE5321"/>
    <w:rsid w:val="00B32919"/>
    <w:rsid w:val="00B5783D"/>
    <w:rsid w:val="00C04298"/>
    <w:rsid w:val="00C40A6E"/>
    <w:rsid w:val="00C418DA"/>
    <w:rsid w:val="00C5619C"/>
    <w:rsid w:val="00C97482"/>
    <w:rsid w:val="00CB1D44"/>
    <w:rsid w:val="00CB6E96"/>
    <w:rsid w:val="00CC0E05"/>
    <w:rsid w:val="00CC4EAF"/>
    <w:rsid w:val="00CE712C"/>
    <w:rsid w:val="00D378CC"/>
    <w:rsid w:val="00D6368D"/>
    <w:rsid w:val="00D904ED"/>
    <w:rsid w:val="00E81568"/>
    <w:rsid w:val="00EC0796"/>
    <w:rsid w:val="00EF53BE"/>
    <w:rsid w:val="00EF5929"/>
    <w:rsid w:val="00F02CF4"/>
    <w:rsid w:val="00F13049"/>
    <w:rsid w:val="00F304D1"/>
    <w:rsid w:val="00F30D2C"/>
    <w:rsid w:val="00F379F5"/>
    <w:rsid w:val="00F53ABE"/>
    <w:rsid w:val="00FA26B3"/>
    <w:rsid w:val="00FA6F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E7F1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E05"/>
  </w:style>
  <w:style w:type="paragraph" w:styleId="Footer">
    <w:name w:val="footer"/>
    <w:basedOn w:val="Normal"/>
    <w:link w:val="FooterChar"/>
    <w:uiPriority w:val="99"/>
    <w:unhideWhenUsed/>
    <w:rsid w:val="002A39B1"/>
    <w:pPr>
      <w:tabs>
        <w:tab w:val="center" w:pos="4320"/>
        <w:tab w:val="right" w:pos="8640"/>
      </w:tabs>
    </w:pPr>
  </w:style>
  <w:style w:type="character" w:customStyle="1" w:styleId="FooterChar">
    <w:name w:val="Footer Char"/>
    <w:basedOn w:val="DefaultParagraphFont"/>
    <w:link w:val="Footer"/>
    <w:uiPriority w:val="99"/>
    <w:rsid w:val="002A39B1"/>
  </w:style>
  <w:style w:type="character" w:styleId="PageNumber">
    <w:name w:val="page number"/>
    <w:basedOn w:val="DefaultParagraphFont"/>
    <w:uiPriority w:val="99"/>
    <w:semiHidden/>
    <w:unhideWhenUsed/>
    <w:rsid w:val="002A39B1"/>
  </w:style>
  <w:style w:type="character" w:styleId="Hyperlink">
    <w:name w:val="Hyperlink"/>
    <w:basedOn w:val="DefaultParagraphFont"/>
    <w:uiPriority w:val="99"/>
    <w:unhideWhenUsed/>
    <w:rsid w:val="00906D6D"/>
    <w:rPr>
      <w:color w:val="0000FF" w:themeColor="hyperlink"/>
      <w:u w:val="single"/>
    </w:rPr>
  </w:style>
  <w:style w:type="table" w:styleId="TableGrid">
    <w:name w:val="Table Grid"/>
    <w:basedOn w:val="TableNormal"/>
    <w:uiPriority w:val="59"/>
    <w:rsid w:val="00287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E05"/>
  </w:style>
  <w:style w:type="paragraph" w:styleId="Footer">
    <w:name w:val="footer"/>
    <w:basedOn w:val="Normal"/>
    <w:link w:val="FooterChar"/>
    <w:uiPriority w:val="99"/>
    <w:unhideWhenUsed/>
    <w:rsid w:val="002A39B1"/>
    <w:pPr>
      <w:tabs>
        <w:tab w:val="center" w:pos="4320"/>
        <w:tab w:val="right" w:pos="8640"/>
      </w:tabs>
    </w:pPr>
  </w:style>
  <w:style w:type="character" w:customStyle="1" w:styleId="FooterChar">
    <w:name w:val="Footer Char"/>
    <w:basedOn w:val="DefaultParagraphFont"/>
    <w:link w:val="Footer"/>
    <w:uiPriority w:val="99"/>
    <w:rsid w:val="002A39B1"/>
  </w:style>
  <w:style w:type="character" w:styleId="PageNumber">
    <w:name w:val="page number"/>
    <w:basedOn w:val="DefaultParagraphFont"/>
    <w:uiPriority w:val="99"/>
    <w:semiHidden/>
    <w:unhideWhenUsed/>
    <w:rsid w:val="002A39B1"/>
  </w:style>
  <w:style w:type="character" w:styleId="Hyperlink">
    <w:name w:val="Hyperlink"/>
    <w:basedOn w:val="DefaultParagraphFont"/>
    <w:uiPriority w:val="99"/>
    <w:unhideWhenUsed/>
    <w:rsid w:val="00906D6D"/>
    <w:rPr>
      <w:color w:val="0000FF" w:themeColor="hyperlink"/>
      <w:u w:val="single"/>
    </w:rPr>
  </w:style>
  <w:style w:type="table" w:styleId="TableGrid">
    <w:name w:val="Table Grid"/>
    <w:basedOn w:val="TableNormal"/>
    <w:uiPriority w:val="59"/>
    <w:rsid w:val="00287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lfjb.com/wp-content/uploads/2014/10/Practice-guidance-for-social-workers.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lfjb.com/wp-content/uploads/2014/10/Practice-guidance-for-social-workers.pdf" TargetMode="External"/><Relationship Id="rId10" Type="http://schemas.openxmlformats.org/officeDocument/2006/relationships/hyperlink" Target="http://www.llfjb.com/wp-content/uploads/2014/08/Guidance_for_completing_the_national_local_authority_social_work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BD4-1FA2-FD48-9CFE-99894AF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1063</Words>
  <Characters>6063</Characters>
  <Application>Microsoft Macintosh Word</Application>
  <DocSecurity>0</DocSecurity>
  <Lines>50</Lines>
  <Paragraphs>14</Paragraphs>
  <ScaleCrop>false</ScaleCrop>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Bratton</dc:creator>
  <cp:keywords/>
  <dc:description/>
  <cp:lastModifiedBy>Laura Bratton</cp:lastModifiedBy>
  <cp:revision>72</cp:revision>
  <dcterms:created xsi:type="dcterms:W3CDTF">2015-06-30T10:09:00Z</dcterms:created>
  <dcterms:modified xsi:type="dcterms:W3CDTF">2015-07-07T21:18:00Z</dcterms:modified>
</cp:coreProperties>
</file>